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746" w:rsidRPr="005923FC" w:rsidRDefault="002B0F11" w:rsidP="005923FC">
      <w:pPr>
        <w:rPr>
          <w:rFonts w:ascii="Tahoma" w:hAnsi="Tahoma" w:cs="Tahoma"/>
          <w:sz w:val="22"/>
          <w:szCs w:val="22"/>
          <w:lang w:val="es-ES"/>
        </w:rPr>
      </w:pPr>
      <w:r w:rsidRPr="005923FC">
        <w:rPr>
          <w:rFonts w:ascii="Tahoma" w:hAnsi="Tahoma" w:cs="Tahoma"/>
          <w:sz w:val="22"/>
          <w:szCs w:val="22"/>
          <w:lang w:val="es-ES"/>
        </w:rPr>
        <w:t xml:space="preserve">Dra. Carolina, buenos días, revisados los documentos enviados, </w:t>
      </w:r>
      <w:r w:rsidR="00667ED6" w:rsidRPr="005923FC">
        <w:rPr>
          <w:rFonts w:ascii="Tahoma" w:hAnsi="Tahoma" w:cs="Tahoma"/>
          <w:sz w:val="22"/>
          <w:szCs w:val="22"/>
          <w:lang w:val="es-ES"/>
        </w:rPr>
        <w:t>planteamos las siguientes observaciones:</w:t>
      </w:r>
    </w:p>
    <w:p w:rsidR="00667ED6" w:rsidRPr="005923FC" w:rsidRDefault="00667ED6" w:rsidP="005923FC">
      <w:pPr>
        <w:rPr>
          <w:rFonts w:ascii="Tahoma" w:hAnsi="Tahoma" w:cs="Tahoma"/>
          <w:sz w:val="22"/>
          <w:szCs w:val="22"/>
          <w:lang w:val="es-ES"/>
        </w:rPr>
      </w:pPr>
    </w:p>
    <w:p w:rsidR="00667ED6" w:rsidRPr="004108D4" w:rsidRDefault="002B0F11" w:rsidP="004108D4">
      <w:pPr>
        <w:pStyle w:val="Prrafodelista"/>
        <w:numPr>
          <w:ilvl w:val="0"/>
          <w:numId w:val="3"/>
        </w:numPr>
        <w:jc w:val="both"/>
        <w:rPr>
          <w:rFonts w:ascii="Tahoma" w:hAnsi="Tahoma" w:cs="Tahoma"/>
          <w:lang w:val="es-ES"/>
        </w:rPr>
      </w:pPr>
      <w:r w:rsidRPr="004108D4">
        <w:rPr>
          <w:rFonts w:ascii="Tahoma" w:hAnsi="Tahoma" w:cs="Tahoma"/>
          <w:lang w:val="es-ES"/>
        </w:rPr>
        <w:t>Se sugiere ampliar la razón por la cual se dividieron los bienes adquirir en 6 lotes y no en un número diferente, es decir, se debe basar en una razón objetiva para ello.</w:t>
      </w:r>
    </w:p>
    <w:p w:rsidR="00667ED6" w:rsidRPr="004108D4" w:rsidRDefault="004108D4" w:rsidP="004108D4">
      <w:pPr>
        <w:ind w:firstLine="360"/>
        <w:jc w:val="both"/>
        <w:rPr>
          <w:rFonts w:ascii="Tahoma" w:hAnsi="Tahoma" w:cs="Tahoma"/>
          <w:color w:val="4472C4" w:themeColor="accent1"/>
          <w:sz w:val="22"/>
          <w:szCs w:val="22"/>
          <w:lang w:val="es-ES"/>
        </w:rPr>
      </w:pPr>
      <w:r w:rsidRPr="004108D4">
        <w:rPr>
          <w:rFonts w:ascii="Tahoma" w:hAnsi="Tahoma" w:cs="Tahoma"/>
          <w:color w:val="4472C4" w:themeColor="accent1"/>
          <w:sz w:val="22"/>
          <w:szCs w:val="22"/>
          <w:lang w:val="es-ES"/>
        </w:rPr>
        <w:t>LMD Y GONZALO</w:t>
      </w:r>
    </w:p>
    <w:p w:rsidR="004108D4" w:rsidRPr="005923FC" w:rsidRDefault="004108D4" w:rsidP="004108D4">
      <w:pPr>
        <w:ind w:firstLine="360"/>
        <w:jc w:val="both"/>
        <w:rPr>
          <w:rFonts w:ascii="Tahoma" w:hAnsi="Tahoma" w:cs="Tahoma"/>
          <w:sz w:val="22"/>
          <w:szCs w:val="22"/>
          <w:lang w:val="es-ES"/>
        </w:rPr>
      </w:pPr>
    </w:p>
    <w:p w:rsidR="00667ED6" w:rsidRPr="004108D4" w:rsidRDefault="002B0F11" w:rsidP="004108D4">
      <w:pPr>
        <w:pStyle w:val="Prrafodelista"/>
        <w:numPr>
          <w:ilvl w:val="0"/>
          <w:numId w:val="3"/>
        </w:numPr>
        <w:jc w:val="both"/>
        <w:rPr>
          <w:rFonts w:ascii="Tahoma" w:hAnsi="Tahoma" w:cs="Tahoma"/>
          <w:lang w:val="es-ES"/>
        </w:rPr>
      </w:pPr>
      <w:r w:rsidRPr="004108D4">
        <w:rPr>
          <w:rFonts w:ascii="Tahoma" w:hAnsi="Tahoma" w:cs="Tahoma"/>
          <w:lang w:val="es-ES"/>
        </w:rPr>
        <w:t xml:space="preserve">En el cuadro del numeral 4.2 de los </w:t>
      </w:r>
      <w:r w:rsidR="00105303" w:rsidRPr="004108D4">
        <w:rPr>
          <w:rFonts w:ascii="Tahoma" w:hAnsi="Tahoma" w:cs="Tahoma"/>
          <w:lang w:val="es-ES"/>
        </w:rPr>
        <w:t>E</w:t>
      </w:r>
      <w:r w:rsidRPr="004108D4">
        <w:rPr>
          <w:rFonts w:ascii="Tahoma" w:hAnsi="Tahoma" w:cs="Tahoma"/>
          <w:lang w:val="es-ES"/>
        </w:rPr>
        <w:t xml:space="preserve">studios </w:t>
      </w:r>
      <w:r w:rsidR="00105303" w:rsidRPr="004108D4">
        <w:rPr>
          <w:rFonts w:ascii="Tahoma" w:hAnsi="Tahoma" w:cs="Tahoma"/>
          <w:lang w:val="es-ES"/>
        </w:rPr>
        <w:t>P</w:t>
      </w:r>
      <w:r w:rsidRPr="004108D4">
        <w:rPr>
          <w:rFonts w:ascii="Tahoma" w:hAnsi="Tahoma" w:cs="Tahoma"/>
          <w:lang w:val="es-ES"/>
        </w:rPr>
        <w:t>revios se debe corregir el número del lote y el contratista</w:t>
      </w:r>
      <w:r w:rsidR="00105303" w:rsidRPr="004108D4">
        <w:rPr>
          <w:rFonts w:ascii="Tahoma" w:hAnsi="Tahoma" w:cs="Tahoma"/>
          <w:lang w:val="es-ES"/>
        </w:rPr>
        <w:t>, porque no corresponden a los señalados en los documentos del proceso</w:t>
      </w:r>
      <w:r w:rsidRPr="004108D4">
        <w:rPr>
          <w:rFonts w:ascii="Tahoma" w:hAnsi="Tahoma" w:cs="Tahoma"/>
          <w:lang w:val="es-ES"/>
        </w:rPr>
        <w:t>.</w:t>
      </w:r>
    </w:p>
    <w:p w:rsidR="00667ED6" w:rsidRDefault="00667ED6" w:rsidP="005923FC">
      <w:pPr>
        <w:jc w:val="both"/>
        <w:rPr>
          <w:rFonts w:ascii="Tahoma" w:hAnsi="Tahoma" w:cs="Tahoma"/>
          <w:sz w:val="22"/>
          <w:szCs w:val="22"/>
          <w:lang w:val="es-ES"/>
        </w:rPr>
      </w:pPr>
    </w:p>
    <w:p w:rsidR="004108D4" w:rsidRPr="004108D4" w:rsidRDefault="004108D4" w:rsidP="004108D4">
      <w:pPr>
        <w:ind w:firstLine="360"/>
        <w:jc w:val="both"/>
        <w:rPr>
          <w:rFonts w:ascii="Tahoma" w:hAnsi="Tahoma" w:cs="Tahoma"/>
          <w:color w:val="4472C4" w:themeColor="accent1"/>
          <w:sz w:val="22"/>
          <w:szCs w:val="22"/>
          <w:lang w:val="es-ES"/>
        </w:rPr>
      </w:pPr>
      <w:r>
        <w:rPr>
          <w:rFonts w:ascii="Tahoma" w:hAnsi="Tahoma" w:cs="Tahoma"/>
          <w:color w:val="4472C4" w:themeColor="accent1"/>
          <w:sz w:val="22"/>
          <w:szCs w:val="22"/>
          <w:lang w:val="es-ES"/>
        </w:rPr>
        <w:t xml:space="preserve">PAULA Y </w:t>
      </w:r>
      <w:r w:rsidRPr="004108D4">
        <w:rPr>
          <w:rFonts w:ascii="Tahoma" w:hAnsi="Tahoma" w:cs="Tahoma"/>
          <w:color w:val="4472C4" w:themeColor="accent1"/>
          <w:sz w:val="22"/>
          <w:szCs w:val="22"/>
          <w:lang w:val="es-ES"/>
        </w:rPr>
        <w:t>GONZALO</w:t>
      </w:r>
    </w:p>
    <w:p w:rsidR="004108D4" w:rsidRPr="005923FC" w:rsidRDefault="004108D4" w:rsidP="005923FC">
      <w:pPr>
        <w:jc w:val="both"/>
        <w:rPr>
          <w:rFonts w:ascii="Tahoma" w:hAnsi="Tahoma" w:cs="Tahoma"/>
          <w:sz w:val="22"/>
          <w:szCs w:val="22"/>
          <w:lang w:val="es-ES"/>
        </w:rPr>
      </w:pPr>
    </w:p>
    <w:p w:rsidR="002B0F11" w:rsidRPr="004108D4" w:rsidRDefault="002B0F11" w:rsidP="004108D4">
      <w:pPr>
        <w:pStyle w:val="Prrafodelista"/>
        <w:numPr>
          <w:ilvl w:val="0"/>
          <w:numId w:val="3"/>
        </w:numPr>
        <w:jc w:val="both"/>
        <w:rPr>
          <w:rFonts w:ascii="Tahoma" w:hAnsi="Tahoma" w:cs="Tahoma"/>
          <w:lang w:val="es-ES"/>
        </w:rPr>
      </w:pPr>
      <w:r w:rsidRPr="004108D4">
        <w:rPr>
          <w:rFonts w:ascii="Tahoma" w:hAnsi="Tahoma" w:cs="Tahoma"/>
          <w:lang w:val="es-ES"/>
        </w:rPr>
        <w:t xml:space="preserve">Es importante dejar clara la razón por la cual se solicitó cotización a un grupo tan reducido, teniendo en cuenta la naturaleza de bienes a adquirir y la razón por la cual no se realizó una exploración institucional, mediante la consulta de otras fuentes comerciales que les permitieran tener un dato propio del valor de </w:t>
      </w:r>
      <w:proofErr w:type="gramStart"/>
      <w:r w:rsidRPr="004108D4">
        <w:rPr>
          <w:rFonts w:ascii="Tahoma" w:hAnsi="Tahoma" w:cs="Tahoma"/>
          <w:lang w:val="es-ES"/>
        </w:rPr>
        <w:t>los mismos</w:t>
      </w:r>
      <w:proofErr w:type="gramEnd"/>
      <w:r w:rsidRPr="004108D4">
        <w:rPr>
          <w:rFonts w:ascii="Tahoma" w:hAnsi="Tahoma" w:cs="Tahoma"/>
          <w:lang w:val="es-ES"/>
        </w:rPr>
        <w:t xml:space="preserve">. </w:t>
      </w:r>
    </w:p>
    <w:p w:rsidR="008F692A" w:rsidRPr="005923FC" w:rsidRDefault="008F692A" w:rsidP="005923FC">
      <w:pPr>
        <w:jc w:val="both"/>
        <w:rPr>
          <w:rFonts w:ascii="Tahoma" w:hAnsi="Tahoma" w:cs="Tahoma"/>
          <w:sz w:val="22"/>
          <w:szCs w:val="22"/>
          <w:lang w:val="es-ES"/>
        </w:rPr>
      </w:pPr>
    </w:p>
    <w:p w:rsidR="002B0F11" w:rsidRPr="005923FC" w:rsidRDefault="008F692A" w:rsidP="004108D4">
      <w:pPr>
        <w:ind w:left="360"/>
        <w:jc w:val="both"/>
        <w:rPr>
          <w:rFonts w:ascii="Tahoma" w:hAnsi="Tahoma" w:cs="Tahoma"/>
          <w:sz w:val="22"/>
          <w:szCs w:val="22"/>
          <w:lang w:val="es-ES"/>
        </w:rPr>
      </w:pPr>
      <w:r w:rsidRPr="005923FC">
        <w:rPr>
          <w:rFonts w:ascii="Tahoma" w:hAnsi="Tahoma" w:cs="Tahoma"/>
          <w:sz w:val="22"/>
          <w:szCs w:val="22"/>
          <w:lang w:val="es-ES"/>
        </w:rPr>
        <w:t xml:space="preserve">Esta </w:t>
      </w:r>
      <w:r w:rsidR="002B0F11" w:rsidRPr="005923FC">
        <w:rPr>
          <w:rFonts w:ascii="Tahoma" w:hAnsi="Tahoma" w:cs="Tahoma"/>
          <w:sz w:val="22"/>
          <w:szCs w:val="22"/>
          <w:lang w:val="es-ES"/>
        </w:rPr>
        <w:t xml:space="preserve">situación, pudo dar lugar a lo ocurrido con el precio de las </w:t>
      </w:r>
      <w:proofErr w:type="spellStart"/>
      <w:r w:rsidR="002B0F11" w:rsidRPr="005923FC">
        <w:rPr>
          <w:rFonts w:ascii="Tahoma" w:hAnsi="Tahoma" w:cs="Tahoma"/>
          <w:sz w:val="22"/>
          <w:szCs w:val="22"/>
          <w:lang w:val="es-ES"/>
        </w:rPr>
        <w:t>monogafas</w:t>
      </w:r>
      <w:proofErr w:type="spellEnd"/>
      <w:r w:rsidR="002B0F11" w:rsidRPr="005923FC">
        <w:rPr>
          <w:rFonts w:ascii="Tahoma" w:hAnsi="Tahoma" w:cs="Tahoma"/>
          <w:sz w:val="22"/>
          <w:szCs w:val="22"/>
          <w:lang w:val="es-ES"/>
        </w:rPr>
        <w:t xml:space="preserve">, que cambió porque, como se expresa en el documento de </w:t>
      </w:r>
      <w:r w:rsidR="000F12BB" w:rsidRPr="005923FC">
        <w:rPr>
          <w:rFonts w:ascii="Tahoma" w:hAnsi="Tahoma" w:cs="Tahoma"/>
          <w:sz w:val="22"/>
          <w:szCs w:val="22"/>
          <w:lang w:val="es-ES"/>
        </w:rPr>
        <w:t>A</w:t>
      </w:r>
      <w:r w:rsidR="002B0F11" w:rsidRPr="005923FC">
        <w:rPr>
          <w:rFonts w:ascii="Tahoma" w:hAnsi="Tahoma" w:cs="Tahoma"/>
          <w:sz w:val="22"/>
          <w:szCs w:val="22"/>
          <w:lang w:val="es-ES"/>
        </w:rPr>
        <w:t xml:space="preserve">nálisis </w:t>
      </w:r>
      <w:r w:rsidR="000F12BB" w:rsidRPr="005923FC">
        <w:rPr>
          <w:rFonts w:ascii="Tahoma" w:hAnsi="Tahoma" w:cs="Tahoma"/>
          <w:sz w:val="22"/>
          <w:szCs w:val="22"/>
          <w:lang w:val="es-ES"/>
        </w:rPr>
        <w:t>E</w:t>
      </w:r>
      <w:r w:rsidR="002B0F11" w:rsidRPr="005923FC">
        <w:rPr>
          <w:rFonts w:ascii="Tahoma" w:hAnsi="Tahoma" w:cs="Tahoma"/>
          <w:sz w:val="22"/>
          <w:szCs w:val="22"/>
          <w:lang w:val="es-ES"/>
        </w:rPr>
        <w:t xml:space="preserve">conómico, la referencia cotizada inicialmente no tenía disponibilidad por parte del proveedor MQ y en indagaciones en el mercado las referencias disponibles tenían precios superiores a los identificados con el proveedor en mención. </w:t>
      </w:r>
    </w:p>
    <w:p w:rsidR="000F12BB" w:rsidRPr="005923FC" w:rsidRDefault="000F12BB" w:rsidP="004108D4">
      <w:pPr>
        <w:ind w:left="360"/>
        <w:jc w:val="both"/>
        <w:rPr>
          <w:rFonts w:ascii="Tahoma" w:hAnsi="Tahoma" w:cs="Tahoma"/>
          <w:sz w:val="22"/>
          <w:szCs w:val="22"/>
          <w:lang w:val="es-ES"/>
        </w:rPr>
      </w:pPr>
    </w:p>
    <w:p w:rsidR="002B0F11" w:rsidRPr="005923FC" w:rsidRDefault="002B0F11" w:rsidP="004108D4">
      <w:pPr>
        <w:ind w:left="360"/>
        <w:jc w:val="both"/>
        <w:rPr>
          <w:rFonts w:ascii="Tahoma" w:hAnsi="Tahoma" w:cs="Tahoma"/>
          <w:sz w:val="22"/>
          <w:szCs w:val="22"/>
          <w:lang w:val="es-ES"/>
        </w:rPr>
      </w:pPr>
      <w:r w:rsidRPr="005923FC">
        <w:rPr>
          <w:rFonts w:ascii="Tahoma" w:hAnsi="Tahoma" w:cs="Tahoma"/>
          <w:sz w:val="22"/>
          <w:szCs w:val="22"/>
          <w:lang w:val="es-ES"/>
        </w:rPr>
        <w:t xml:space="preserve">Si bien en el documento de </w:t>
      </w:r>
      <w:r w:rsidR="000F12BB" w:rsidRPr="005923FC">
        <w:rPr>
          <w:rFonts w:ascii="Tahoma" w:hAnsi="Tahoma" w:cs="Tahoma"/>
          <w:sz w:val="22"/>
          <w:szCs w:val="22"/>
          <w:lang w:val="es-ES"/>
        </w:rPr>
        <w:t>A</w:t>
      </w:r>
      <w:r w:rsidRPr="005923FC">
        <w:rPr>
          <w:rFonts w:ascii="Tahoma" w:hAnsi="Tahoma" w:cs="Tahoma"/>
          <w:sz w:val="22"/>
          <w:szCs w:val="22"/>
          <w:lang w:val="es-ES"/>
        </w:rPr>
        <w:t xml:space="preserve">nálisis </w:t>
      </w:r>
      <w:r w:rsidR="000F12BB" w:rsidRPr="005923FC">
        <w:rPr>
          <w:rFonts w:ascii="Tahoma" w:hAnsi="Tahoma" w:cs="Tahoma"/>
          <w:sz w:val="22"/>
          <w:szCs w:val="22"/>
          <w:lang w:val="es-ES"/>
        </w:rPr>
        <w:t>E</w:t>
      </w:r>
      <w:r w:rsidRPr="005923FC">
        <w:rPr>
          <w:rFonts w:ascii="Tahoma" w:hAnsi="Tahoma" w:cs="Tahoma"/>
          <w:sz w:val="22"/>
          <w:szCs w:val="22"/>
          <w:lang w:val="es-ES"/>
        </w:rPr>
        <w:t xml:space="preserve">conómico, se indicó que se mantendría el valor presupuestado para las </w:t>
      </w:r>
      <w:proofErr w:type="spellStart"/>
      <w:r w:rsidRPr="005923FC">
        <w:rPr>
          <w:rFonts w:ascii="Tahoma" w:hAnsi="Tahoma" w:cs="Tahoma"/>
          <w:sz w:val="22"/>
          <w:szCs w:val="22"/>
          <w:lang w:val="es-ES"/>
        </w:rPr>
        <w:t>monogafas</w:t>
      </w:r>
      <w:proofErr w:type="spellEnd"/>
      <w:r w:rsidRPr="005923FC">
        <w:rPr>
          <w:rFonts w:ascii="Tahoma" w:hAnsi="Tahoma" w:cs="Tahoma"/>
          <w:sz w:val="22"/>
          <w:szCs w:val="22"/>
          <w:lang w:val="es-ES"/>
        </w:rPr>
        <w:t>, ajustando cantidades, es necesario que se indique la razón por la cual</w:t>
      </w:r>
      <w:r w:rsidR="000F12BB" w:rsidRPr="005923FC">
        <w:rPr>
          <w:rFonts w:ascii="Tahoma" w:hAnsi="Tahoma" w:cs="Tahoma"/>
          <w:sz w:val="22"/>
          <w:szCs w:val="22"/>
          <w:lang w:val="es-ES"/>
        </w:rPr>
        <w:t>,</w:t>
      </w:r>
      <w:r w:rsidRPr="005923FC">
        <w:rPr>
          <w:rFonts w:ascii="Tahoma" w:hAnsi="Tahoma" w:cs="Tahoma"/>
          <w:sz w:val="22"/>
          <w:szCs w:val="22"/>
          <w:lang w:val="es-ES"/>
        </w:rPr>
        <w:t xml:space="preserve"> si bien inicialmente se pretendía adquirir 1.538 </w:t>
      </w:r>
      <w:proofErr w:type="spellStart"/>
      <w:r w:rsidRPr="005923FC">
        <w:rPr>
          <w:rFonts w:ascii="Tahoma" w:hAnsi="Tahoma" w:cs="Tahoma"/>
          <w:sz w:val="22"/>
          <w:szCs w:val="22"/>
          <w:lang w:val="es-ES"/>
        </w:rPr>
        <w:t>monogafas</w:t>
      </w:r>
      <w:proofErr w:type="spellEnd"/>
      <w:r w:rsidRPr="005923FC">
        <w:rPr>
          <w:rFonts w:ascii="Tahoma" w:hAnsi="Tahoma" w:cs="Tahoma"/>
          <w:sz w:val="22"/>
          <w:szCs w:val="22"/>
          <w:lang w:val="es-ES"/>
        </w:rPr>
        <w:t xml:space="preserve"> por un valor unitario de $6.000 para un valor total de $9.228.000; se decidió finalmente, adquirir 1.382 </w:t>
      </w:r>
      <w:proofErr w:type="spellStart"/>
      <w:r w:rsidRPr="005923FC">
        <w:rPr>
          <w:rFonts w:ascii="Tahoma" w:hAnsi="Tahoma" w:cs="Tahoma"/>
          <w:sz w:val="22"/>
          <w:szCs w:val="22"/>
          <w:lang w:val="es-ES"/>
        </w:rPr>
        <w:t>monogafas</w:t>
      </w:r>
      <w:proofErr w:type="spellEnd"/>
      <w:r w:rsidRPr="005923FC">
        <w:rPr>
          <w:rFonts w:ascii="Tahoma" w:hAnsi="Tahoma" w:cs="Tahoma"/>
          <w:sz w:val="22"/>
          <w:szCs w:val="22"/>
          <w:lang w:val="es-ES"/>
        </w:rPr>
        <w:t xml:space="preserve"> (156 menos) por un valor total de $17.420.110, es decir, que se pagará un valor de $12.605 por cada una de ellas, es decir, $6.605 más por cada una.</w:t>
      </w:r>
    </w:p>
    <w:p w:rsidR="000F12BB" w:rsidRPr="005923FC" w:rsidRDefault="000F12BB" w:rsidP="004108D4">
      <w:pPr>
        <w:ind w:left="360"/>
        <w:jc w:val="both"/>
        <w:rPr>
          <w:rFonts w:ascii="Tahoma" w:hAnsi="Tahoma" w:cs="Tahoma"/>
          <w:sz w:val="22"/>
          <w:szCs w:val="22"/>
          <w:lang w:val="es-ES"/>
        </w:rPr>
      </w:pPr>
    </w:p>
    <w:p w:rsidR="000F12BB" w:rsidRPr="005923FC" w:rsidRDefault="000F12BB" w:rsidP="004108D4">
      <w:pPr>
        <w:ind w:left="360"/>
        <w:jc w:val="both"/>
        <w:rPr>
          <w:rFonts w:ascii="Tahoma" w:hAnsi="Tahoma" w:cs="Tahoma"/>
          <w:sz w:val="22"/>
          <w:szCs w:val="22"/>
          <w:lang w:val="es-ES"/>
        </w:rPr>
      </w:pPr>
      <w:r w:rsidRPr="005923FC">
        <w:rPr>
          <w:rFonts w:ascii="Tahoma" w:hAnsi="Tahoma" w:cs="Tahoma"/>
          <w:sz w:val="22"/>
          <w:szCs w:val="22"/>
          <w:lang w:val="es-ES"/>
        </w:rPr>
        <w:t xml:space="preserve">Por esta razón, en general, se sugiere revisar la selección objetiva de los proveedores </w:t>
      </w:r>
      <w:r w:rsidR="006B5D6C" w:rsidRPr="005923FC">
        <w:rPr>
          <w:rFonts w:ascii="Tahoma" w:hAnsi="Tahoma" w:cs="Tahoma"/>
          <w:sz w:val="22"/>
          <w:szCs w:val="22"/>
          <w:lang w:val="es-ES"/>
        </w:rPr>
        <w:t>en cuanto a la calidad y precio que resulten más favorables para el Estado (</w:t>
      </w:r>
      <w:r w:rsidR="004B589E" w:rsidRPr="005923FC">
        <w:rPr>
          <w:rFonts w:ascii="Tahoma" w:hAnsi="Tahoma" w:cs="Tahoma"/>
          <w:sz w:val="22"/>
          <w:szCs w:val="22"/>
          <w:lang w:val="es-ES"/>
        </w:rPr>
        <w:t>Ley 1150 de 2007, art. 5)</w:t>
      </w:r>
      <w:r w:rsidR="006B5D6C" w:rsidRPr="005923FC">
        <w:rPr>
          <w:rFonts w:ascii="Tahoma" w:hAnsi="Tahoma" w:cs="Tahoma"/>
          <w:sz w:val="22"/>
          <w:szCs w:val="22"/>
          <w:lang w:val="es-ES"/>
        </w:rPr>
        <w:t>.</w:t>
      </w:r>
    </w:p>
    <w:p w:rsidR="000F12BB" w:rsidRDefault="000F12BB" w:rsidP="005923FC">
      <w:pPr>
        <w:jc w:val="both"/>
        <w:rPr>
          <w:rFonts w:ascii="Tahoma" w:hAnsi="Tahoma" w:cs="Tahoma"/>
          <w:sz w:val="22"/>
          <w:szCs w:val="22"/>
          <w:lang w:val="es-ES"/>
        </w:rPr>
      </w:pPr>
    </w:p>
    <w:p w:rsidR="004108D4" w:rsidRPr="004108D4" w:rsidRDefault="004108D4" w:rsidP="004108D4">
      <w:pPr>
        <w:ind w:firstLine="360"/>
        <w:jc w:val="both"/>
        <w:rPr>
          <w:rFonts w:ascii="Tahoma" w:hAnsi="Tahoma" w:cs="Tahoma"/>
          <w:color w:val="4472C4" w:themeColor="accent1"/>
          <w:sz w:val="22"/>
          <w:szCs w:val="22"/>
          <w:lang w:val="es-ES"/>
        </w:rPr>
      </w:pPr>
      <w:r w:rsidRPr="004108D4">
        <w:rPr>
          <w:rFonts w:ascii="Tahoma" w:hAnsi="Tahoma" w:cs="Tahoma"/>
          <w:color w:val="4472C4" w:themeColor="accent1"/>
          <w:sz w:val="22"/>
          <w:szCs w:val="22"/>
          <w:lang w:val="es-ES"/>
        </w:rPr>
        <w:t xml:space="preserve">LMD </w:t>
      </w:r>
      <w:r w:rsidR="00622ED9">
        <w:rPr>
          <w:rFonts w:ascii="Tahoma" w:hAnsi="Tahoma" w:cs="Tahoma"/>
          <w:color w:val="4472C4" w:themeColor="accent1"/>
          <w:sz w:val="22"/>
          <w:szCs w:val="22"/>
          <w:lang w:val="es-ES"/>
        </w:rPr>
        <w:t xml:space="preserve">Y </w:t>
      </w:r>
      <w:r w:rsidRPr="004108D4">
        <w:rPr>
          <w:rFonts w:ascii="Tahoma" w:hAnsi="Tahoma" w:cs="Tahoma"/>
          <w:color w:val="4472C4" w:themeColor="accent1"/>
          <w:sz w:val="22"/>
          <w:szCs w:val="22"/>
          <w:lang w:val="es-ES"/>
        </w:rPr>
        <w:t>GONZALO</w:t>
      </w:r>
    </w:p>
    <w:p w:rsidR="004108D4" w:rsidRPr="005923FC" w:rsidRDefault="004108D4" w:rsidP="005923FC">
      <w:pPr>
        <w:jc w:val="both"/>
        <w:rPr>
          <w:rFonts w:ascii="Tahoma" w:hAnsi="Tahoma" w:cs="Tahoma"/>
          <w:sz w:val="22"/>
          <w:szCs w:val="22"/>
          <w:lang w:val="es-ES"/>
        </w:rPr>
      </w:pPr>
    </w:p>
    <w:p w:rsidR="0051786B" w:rsidRDefault="002B0F11" w:rsidP="004108D4">
      <w:pPr>
        <w:pStyle w:val="Prrafodelista"/>
        <w:numPr>
          <w:ilvl w:val="0"/>
          <w:numId w:val="3"/>
        </w:numPr>
        <w:jc w:val="both"/>
        <w:rPr>
          <w:rFonts w:ascii="Tahoma" w:hAnsi="Tahoma" w:cs="Tahoma"/>
          <w:lang w:val="es-ES"/>
        </w:rPr>
      </w:pPr>
      <w:r w:rsidRPr="004108D4">
        <w:rPr>
          <w:rFonts w:ascii="Tahoma" w:hAnsi="Tahoma" w:cs="Tahoma"/>
          <w:lang w:val="es-ES"/>
        </w:rPr>
        <w:t xml:space="preserve">Se </w:t>
      </w:r>
      <w:r w:rsidR="0051786B" w:rsidRPr="004108D4">
        <w:rPr>
          <w:rFonts w:ascii="Tahoma" w:hAnsi="Tahoma" w:cs="Tahoma"/>
          <w:lang w:val="es-ES"/>
        </w:rPr>
        <w:t>encuentran inconsistencias en los documentos en relación con los ítems objeto del contrato, así:</w:t>
      </w:r>
    </w:p>
    <w:p w:rsidR="004B589E" w:rsidRPr="004108D4" w:rsidRDefault="004108D4" w:rsidP="005923FC">
      <w:pPr>
        <w:pStyle w:val="Prrafodelista"/>
        <w:numPr>
          <w:ilvl w:val="1"/>
          <w:numId w:val="3"/>
        </w:numPr>
        <w:jc w:val="both"/>
        <w:rPr>
          <w:rFonts w:ascii="Tahoma" w:hAnsi="Tahoma" w:cs="Tahoma"/>
          <w:lang w:val="es-ES"/>
        </w:rPr>
      </w:pPr>
      <w:r w:rsidRPr="005923FC">
        <w:rPr>
          <w:rFonts w:ascii="Tahoma" w:hAnsi="Tahoma" w:cs="Tahoma"/>
          <w:lang w:val="es-ES"/>
        </w:rPr>
        <w:t>En el documento de Análisis Económico menciona 20 ítems, mientras que en el Anexo Técnico y en el Análisis de Sector hace referencia a 23 ítems.</w:t>
      </w:r>
      <w:r w:rsidR="0051786B" w:rsidRPr="004108D4">
        <w:rPr>
          <w:rFonts w:ascii="Tahoma" w:hAnsi="Tahoma" w:cs="Tahoma"/>
          <w:lang w:val="es-ES"/>
        </w:rPr>
        <w:t xml:space="preserve"> </w:t>
      </w:r>
    </w:p>
    <w:p w:rsidR="0051786B" w:rsidRDefault="0051786B" w:rsidP="004108D4">
      <w:pPr>
        <w:pStyle w:val="Default"/>
        <w:ind w:left="792"/>
        <w:jc w:val="both"/>
        <w:rPr>
          <w:rFonts w:ascii="Tahoma" w:hAnsi="Tahoma" w:cs="Tahoma"/>
          <w:bCs/>
          <w:spacing w:val="-3"/>
          <w:sz w:val="22"/>
          <w:szCs w:val="22"/>
        </w:rPr>
      </w:pPr>
      <w:r w:rsidRPr="005923FC">
        <w:rPr>
          <w:rFonts w:ascii="Tahoma" w:hAnsi="Tahoma" w:cs="Tahoma"/>
          <w:bCs/>
          <w:spacing w:val="-3"/>
          <w:sz w:val="22"/>
          <w:szCs w:val="22"/>
        </w:rPr>
        <w:t xml:space="preserve">Se identificó que en el Anexo Técnico (p. 2-3) se establecen 23 ítems a adquirir, mientras que en la Tabla 5 del Análisis Económico (p. 8) </w:t>
      </w:r>
      <w:r w:rsidR="00A425B9" w:rsidRPr="005923FC">
        <w:rPr>
          <w:rFonts w:ascii="Tahoma" w:hAnsi="Tahoma" w:cs="Tahoma"/>
          <w:bCs/>
          <w:spacing w:val="-3"/>
          <w:sz w:val="22"/>
          <w:szCs w:val="22"/>
        </w:rPr>
        <w:t xml:space="preserve">se </w:t>
      </w:r>
      <w:r w:rsidRPr="005923FC">
        <w:rPr>
          <w:rFonts w:ascii="Tahoma" w:hAnsi="Tahoma" w:cs="Tahoma"/>
          <w:bCs/>
          <w:spacing w:val="-3"/>
          <w:sz w:val="22"/>
          <w:szCs w:val="22"/>
        </w:rPr>
        <w:t xml:space="preserve">menciona que </w:t>
      </w:r>
      <w:r w:rsidR="00A425B9" w:rsidRPr="005923FC">
        <w:rPr>
          <w:rFonts w:ascii="Tahoma" w:hAnsi="Tahoma" w:cs="Tahoma"/>
          <w:bCs/>
          <w:spacing w:val="-3"/>
          <w:sz w:val="22"/>
          <w:szCs w:val="22"/>
        </w:rPr>
        <w:t xml:space="preserve">se </w:t>
      </w:r>
      <w:r w:rsidRPr="005923FC">
        <w:rPr>
          <w:rFonts w:ascii="Tahoma" w:hAnsi="Tahoma" w:cs="Tahoma"/>
          <w:bCs/>
          <w:spacing w:val="-3"/>
          <w:sz w:val="22"/>
          <w:szCs w:val="22"/>
        </w:rPr>
        <w:t xml:space="preserve">comprarán 20, excluyendo del listado: Bata de Laboratorio Desechable, Gorro </w:t>
      </w:r>
      <w:r w:rsidRPr="005923FC">
        <w:rPr>
          <w:rFonts w:ascii="Tahoma" w:hAnsi="Tahoma" w:cs="Tahoma"/>
          <w:bCs/>
          <w:spacing w:val="-3"/>
          <w:sz w:val="22"/>
          <w:szCs w:val="22"/>
        </w:rPr>
        <w:lastRenderedPageBreak/>
        <w:t xml:space="preserve">Desechable y Guantes. De ser correcto, </w:t>
      </w:r>
      <w:r w:rsidR="0095239F" w:rsidRPr="005923FC">
        <w:rPr>
          <w:rFonts w:ascii="Tahoma" w:hAnsi="Tahoma" w:cs="Tahoma"/>
          <w:bCs/>
          <w:spacing w:val="-3"/>
          <w:sz w:val="22"/>
          <w:szCs w:val="22"/>
        </w:rPr>
        <w:t xml:space="preserve">se </w:t>
      </w:r>
      <w:r w:rsidRPr="005923FC">
        <w:rPr>
          <w:rFonts w:ascii="Tahoma" w:hAnsi="Tahoma" w:cs="Tahoma"/>
          <w:bCs/>
          <w:spacing w:val="-3"/>
          <w:sz w:val="22"/>
          <w:szCs w:val="22"/>
        </w:rPr>
        <w:t>recom</w:t>
      </w:r>
      <w:r w:rsidR="0095239F" w:rsidRPr="005923FC">
        <w:rPr>
          <w:rFonts w:ascii="Tahoma" w:hAnsi="Tahoma" w:cs="Tahoma"/>
          <w:bCs/>
          <w:spacing w:val="-3"/>
          <w:sz w:val="22"/>
          <w:szCs w:val="22"/>
        </w:rPr>
        <w:t>ienda</w:t>
      </w:r>
      <w:r w:rsidRPr="005923FC">
        <w:rPr>
          <w:rFonts w:ascii="Tahoma" w:hAnsi="Tahoma" w:cs="Tahoma"/>
          <w:bCs/>
          <w:spacing w:val="-3"/>
          <w:sz w:val="22"/>
          <w:szCs w:val="22"/>
        </w:rPr>
        <w:t xml:space="preserve"> incluir una justificación de la exc</w:t>
      </w:r>
      <w:r w:rsidR="0095239F" w:rsidRPr="005923FC">
        <w:rPr>
          <w:rFonts w:ascii="Tahoma" w:hAnsi="Tahoma" w:cs="Tahoma"/>
          <w:bCs/>
          <w:spacing w:val="-3"/>
          <w:sz w:val="22"/>
          <w:szCs w:val="22"/>
        </w:rPr>
        <w:t>l</w:t>
      </w:r>
      <w:r w:rsidRPr="005923FC">
        <w:rPr>
          <w:rFonts w:ascii="Tahoma" w:hAnsi="Tahoma" w:cs="Tahoma"/>
          <w:bCs/>
          <w:spacing w:val="-3"/>
          <w:sz w:val="22"/>
          <w:szCs w:val="22"/>
        </w:rPr>
        <w:t xml:space="preserve">usión de estos ítems que sí se encuentran en el Anexo Técnico. </w:t>
      </w:r>
    </w:p>
    <w:p w:rsidR="004108D4" w:rsidRDefault="004108D4" w:rsidP="004108D4">
      <w:pPr>
        <w:pStyle w:val="Default"/>
        <w:jc w:val="both"/>
        <w:rPr>
          <w:rFonts w:ascii="Tahoma" w:hAnsi="Tahoma" w:cs="Tahoma"/>
          <w:bCs/>
          <w:spacing w:val="-3"/>
          <w:sz w:val="22"/>
          <w:szCs w:val="22"/>
        </w:rPr>
      </w:pPr>
    </w:p>
    <w:p w:rsidR="004108D4" w:rsidRPr="004108D4" w:rsidRDefault="004108D4" w:rsidP="004108D4">
      <w:pPr>
        <w:ind w:firstLine="360"/>
        <w:jc w:val="both"/>
        <w:rPr>
          <w:rFonts w:ascii="Tahoma" w:hAnsi="Tahoma" w:cs="Tahoma"/>
          <w:color w:val="4472C4" w:themeColor="accent1"/>
          <w:sz w:val="22"/>
          <w:szCs w:val="22"/>
          <w:lang w:val="es-ES"/>
        </w:rPr>
      </w:pPr>
      <w:r w:rsidRPr="004108D4">
        <w:rPr>
          <w:rFonts w:ascii="Tahoma" w:hAnsi="Tahoma" w:cs="Tahoma"/>
          <w:color w:val="4472C4" w:themeColor="accent1"/>
          <w:sz w:val="22"/>
          <w:szCs w:val="22"/>
          <w:lang w:val="es-ES"/>
        </w:rPr>
        <w:t xml:space="preserve">LMD Y </w:t>
      </w:r>
      <w:r>
        <w:rPr>
          <w:rFonts w:ascii="Tahoma" w:hAnsi="Tahoma" w:cs="Tahoma"/>
          <w:color w:val="4472C4" w:themeColor="accent1"/>
          <w:sz w:val="22"/>
          <w:szCs w:val="22"/>
          <w:lang w:val="es-ES"/>
        </w:rPr>
        <w:t>ANGELICA</w:t>
      </w:r>
    </w:p>
    <w:p w:rsidR="004108D4" w:rsidRPr="005923FC" w:rsidRDefault="004108D4" w:rsidP="004108D4">
      <w:pPr>
        <w:pStyle w:val="Default"/>
        <w:jc w:val="both"/>
        <w:rPr>
          <w:rFonts w:ascii="Tahoma" w:hAnsi="Tahoma" w:cs="Tahoma"/>
          <w:bCs/>
          <w:spacing w:val="-3"/>
          <w:sz w:val="22"/>
          <w:szCs w:val="22"/>
        </w:rPr>
      </w:pPr>
    </w:p>
    <w:p w:rsidR="0051786B" w:rsidRPr="005923FC" w:rsidRDefault="0051786B" w:rsidP="005923FC">
      <w:pPr>
        <w:jc w:val="both"/>
        <w:rPr>
          <w:rFonts w:ascii="Tahoma" w:hAnsi="Tahoma" w:cs="Tahoma"/>
          <w:sz w:val="22"/>
          <w:szCs w:val="22"/>
          <w:lang w:val="es-ES"/>
        </w:rPr>
      </w:pPr>
    </w:p>
    <w:p w:rsidR="0051786B" w:rsidRPr="004108D4" w:rsidRDefault="0051786B" w:rsidP="004108D4">
      <w:pPr>
        <w:pStyle w:val="Default"/>
        <w:numPr>
          <w:ilvl w:val="1"/>
          <w:numId w:val="3"/>
        </w:numPr>
        <w:jc w:val="both"/>
        <w:rPr>
          <w:rFonts w:ascii="Tahoma" w:eastAsiaTheme="minorHAnsi" w:hAnsi="Tahoma" w:cs="Tahoma"/>
          <w:color w:val="auto"/>
          <w:sz w:val="22"/>
          <w:szCs w:val="22"/>
          <w:lang w:val="es-ES"/>
        </w:rPr>
      </w:pPr>
      <w:r w:rsidRPr="004108D4">
        <w:rPr>
          <w:rFonts w:ascii="Tahoma" w:eastAsiaTheme="minorHAnsi" w:hAnsi="Tahoma" w:cs="Tahoma"/>
          <w:color w:val="auto"/>
          <w:sz w:val="22"/>
          <w:szCs w:val="22"/>
          <w:lang w:val="es-ES"/>
        </w:rPr>
        <w:t xml:space="preserve">En la Tabla 4 del Análisis Económico, relacionada con los “Precios unitarios por item y proveedor” no se incluyó el ítem “Guantes” y se adiciona un elemento que no se encuentra en el Anexo Técnico, que es: “Overol antifluido”. Adicionalmente, esta tabla no maneja “precios unitarios”, por eso se recomienda hacer explícito el valor unitario de cada ítem. </w:t>
      </w:r>
    </w:p>
    <w:p w:rsidR="0051786B" w:rsidRPr="005923FC" w:rsidRDefault="0051786B" w:rsidP="005923FC">
      <w:pPr>
        <w:pStyle w:val="Default"/>
        <w:ind w:left="720"/>
        <w:jc w:val="both"/>
        <w:rPr>
          <w:rFonts w:ascii="Tahoma" w:hAnsi="Tahoma" w:cs="Tahoma"/>
          <w:bCs/>
          <w:spacing w:val="-3"/>
          <w:sz w:val="22"/>
          <w:szCs w:val="22"/>
        </w:rPr>
      </w:pPr>
    </w:p>
    <w:tbl>
      <w:tblPr>
        <w:tblStyle w:val="Tablaconcuadrcula"/>
        <w:tblW w:w="0" w:type="auto"/>
        <w:tblInd w:w="720" w:type="dxa"/>
        <w:tblLook w:val="04A0" w:firstRow="1" w:lastRow="0" w:firstColumn="1" w:lastColumn="0" w:noHBand="0" w:noVBand="1"/>
      </w:tblPr>
      <w:tblGrid>
        <w:gridCol w:w="2225"/>
        <w:gridCol w:w="1966"/>
        <w:gridCol w:w="2109"/>
        <w:gridCol w:w="1808"/>
      </w:tblGrid>
      <w:tr w:rsidR="0051786B" w:rsidRPr="005923FC" w:rsidTr="001607F4">
        <w:tc>
          <w:tcPr>
            <w:tcW w:w="2225" w:type="dxa"/>
            <w:vAlign w:val="center"/>
          </w:tcPr>
          <w:p w:rsidR="0051786B" w:rsidRPr="005923FC" w:rsidRDefault="0051786B" w:rsidP="005923FC">
            <w:pPr>
              <w:pStyle w:val="Default"/>
              <w:jc w:val="center"/>
              <w:rPr>
                <w:rFonts w:ascii="Tahoma" w:hAnsi="Tahoma" w:cs="Tahoma"/>
                <w:bCs/>
                <w:i/>
                <w:iCs/>
                <w:spacing w:val="-3"/>
              </w:rPr>
            </w:pPr>
            <w:r w:rsidRPr="005923FC">
              <w:rPr>
                <w:rFonts w:ascii="Tahoma" w:hAnsi="Tahoma" w:cs="Tahoma"/>
                <w:bCs/>
                <w:i/>
                <w:iCs/>
                <w:spacing w:val="-3"/>
              </w:rPr>
              <w:t>Item</w:t>
            </w:r>
          </w:p>
        </w:tc>
        <w:tc>
          <w:tcPr>
            <w:tcW w:w="1966" w:type="dxa"/>
            <w:vAlign w:val="center"/>
          </w:tcPr>
          <w:p w:rsidR="0051786B" w:rsidRPr="005923FC" w:rsidRDefault="0051786B" w:rsidP="005923FC">
            <w:pPr>
              <w:pStyle w:val="Default"/>
              <w:jc w:val="center"/>
              <w:rPr>
                <w:rFonts w:ascii="Tahoma" w:hAnsi="Tahoma" w:cs="Tahoma"/>
                <w:bCs/>
                <w:i/>
                <w:iCs/>
                <w:spacing w:val="-3"/>
              </w:rPr>
            </w:pPr>
            <w:r w:rsidRPr="005923FC">
              <w:rPr>
                <w:rFonts w:ascii="Tahoma" w:hAnsi="Tahoma" w:cs="Tahoma"/>
                <w:bCs/>
                <w:i/>
                <w:iCs/>
                <w:spacing w:val="-3"/>
              </w:rPr>
              <w:t>Cantidad Total</w:t>
            </w:r>
          </w:p>
        </w:tc>
        <w:tc>
          <w:tcPr>
            <w:tcW w:w="2109" w:type="dxa"/>
            <w:vAlign w:val="center"/>
          </w:tcPr>
          <w:p w:rsidR="0051786B" w:rsidRPr="005923FC" w:rsidRDefault="0051786B" w:rsidP="005923FC">
            <w:pPr>
              <w:pStyle w:val="Default"/>
              <w:jc w:val="center"/>
              <w:rPr>
                <w:rFonts w:ascii="Tahoma" w:hAnsi="Tahoma" w:cs="Tahoma"/>
                <w:bCs/>
                <w:i/>
                <w:iCs/>
                <w:spacing w:val="-3"/>
              </w:rPr>
            </w:pPr>
            <w:r w:rsidRPr="005923FC">
              <w:rPr>
                <w:rFonts w:ascii="Tahoma" w:hAnsi="Tahoma" w:cs="Tahoma"/>
                <w:bCs/>
                <w:i/>
                <w:iCs/>
                <w:spacing w:val="-3"/>
              </w:rPr>
              <w:t>Proveedor / Precio</w:t>
            </w:r>
          </w:p>
        </w:tc>
        <w:tc>
          <w:tcPr>
            <w:tcW w:w="1808" w:type="dxa"/>
            <w:vAlign w:val="center"/>
          </w:tcPr>
          <w:p w:rsidR="0051786B" w:rsidRPr="005923FC" w:rsidRDefault="0051786B" w:rsidP="005923FC">
            <w:pPr>
              <w:pStyle w:val="Default"/>
              <w:jc w:val="center"/>
              <w:rPr>
                <w:rFonts w:ascii="Tahoma" w:hAnsi="Tahoma" w:cs="Tahoma"/>
                <w:bCs/>
                <w:i/>
                <w:iCs/>
                <w:spacing w:val="-3"/>
              </w:rPr>
            </w:pPr>
            <w:r w:rsidRPr="005923FC">
              <w:rPr>
                <w:rFonts w:ascii="Tahoma" w:hAnsi="Tahoma" w:cs="Tahoma"/>
                <w:bCs/>
                <w:i/>
                <w:iCs/>
                <w:spacing w:val="-3"/>
              </w:rPr>
              <w:t>*Cálculo de Precio Unitario</w:t>
            </w:r>
          </w:p>
        </w:tc>
      </w:tr>
      <w:tr w:rsidR="0051786B" w:rsidRPr="005923FC" w:rsidTr="001607F4">
        <w:tc>
          <w:tcPr>
            <w:tcW w:w="2225" w:type="dxa"/>
            <w:vAlign w:val="center"/>
          </w:tcPr>
          <w:p w:rsidR="0051786B" w:rsidRPr="005923FC" w:rsidRDefault="0051786B" w:rsidP="005923FC">
            <w:pPr>
              <w:pStyle w:val="Default"/>
              <w:rPr>
                <w:rFonts w:ascii="Tahoma" w:hAnsi="Tahoma" w:cs="Tahoma"/>
                <w:bCs/>
                <w:spacing w:val="-3"/>
              </w:rPr>
            </w:pPr>
            <w:r w:rsidRPr="005923FC">
              <w:rPr>
                <w:rFonts w:ascii="Tahoma" w:hAnsi="Tahoma" w:cs="Tahoma"/>
                <w:bCs/>
                <w:spacing w:val="-3"/>
              </w:rPr>
              <w:t>Tapabocas</w:t>
            </w:r>
          </w:p>
        </w:tc>
        <w:tc>
          <w:tcPr>
            <w:tcW w:w="1966" w:type="dxa"/>
            <w:vAlign w:val="center"/>
          </w:tcPr>
          <w:p w:rsidR="0051786B" w:rsidRPr="005923FC" w:rsidRDefault="0051786B" w:rsidP="005923FC">
            <w:pPr>
              <w:pStyle w:val="Default"/>
              <w:rPr>
                <w:rFonts w:ascii="Tahoma" w:hAnsi="Tahoma" w:cs="Tahoma"/>
                <w:bCs/>
                <w:spacing w:val="-3"/>
              </w:rPr>
            </w:pPr>
            <w:r w:rsidRPr="005923FC">
              <w:rPr>
                <w:rFonts w:ascii="Tahoma" w:hAnsi="Tahoma" w:cs="Tahoma"/>
                <w:bCs/>
                <w:spacing w:val="-3"/>
              </w:rPr>
              <w:t>1.087</w:t>
            </w:r>
          </w:p>
        </w:tc>
        <w:tc>
          <w:tcPr>
            <w:tcW w:w="2109" w:type="dxa"/>
            <w:vAlign w:val="center"/>
          </w:tcPr>
          <w:p w:rsidR="0051786B" w:rsidRPr="005923FC" w:rsidRDefault="0051786B" w:rsidP="005923FC">
            <w:pPr>
              <w:pStyle w:val="Default"/>
              <w:rPr>
                <w:rFonts w:ascii="Tahoma" w:hAnsi="Tahoma" w:cs="Tahoma"/>
                <w:bCs/>
                <w:spacing w:val="-3"/>
              </w:rPr>
            </w:pPr>
            <w:r w:rsidRPr="005923FC">
              <w:rPr>
                <w:rFonts w:ascii="Tahoma" w:hAnsi="Tahoma" w:cs="Tahoma"/>
                <w:bCs/>
                <w:spacing w:val="-3"/>
              </w:rPr>
              <w:t xml:space="preserve">SGA </w:t>
            </w:r>
          </w:p>
          <w:p w:rsidR="0051786B" w:rsidRPr="005923FC" w:rsidRDefault="0051786B" w:rsidP="005923FC">
            <w:pPr>
              <w:pStyle w:val="Default"/>
              <w:rPr>
                <w:rFonts w:ascii="Tahoma" w:hAnsi="Tahoma" w:cs="Tahoma"/>
                <w:bCs/>
                <w:spacing w:val="-3"/>
              </w:rPr>
            </w:pPr>
            <w:r w:rsidRPr="005923FC">
              <w:rPr>
                <w:rFonts w:ascii="Tahoma" w:hAnsi="Tahoma" w:cs="Tahoma"/>
                <w:bCs/>
                <w:spacing w:val="-3"/>
              </w:rPr>
              <w:t>512.500</w:t>
            </w:r>
          </w:p>
        </w:tc>
        <w:tc>
          <w:tcPr>
            <w:tcW w:w="1808" w:type="dxa"/>
            <w:vAlign w:val="center"/>
          </w:tcPr>
          <w:p w:rsidR="0051786B" w:rsidRPr="005923FC" w:rsidRDefault="0051786B" w:rsidP="005923FC">
            <w:pPr>
              <w:pStyle w:val="Default"/>
              <w:rPr>
                <w:rFonts w:ascii="Tahoma" w:hAnsi="Tahoma" w:cs="Tahoma"/>
                <w:bCs/>
                <w:spacing w:val="-3"/>
              </w:rPr>
            </w:pPr>
            <w:r w:rsidRPr="005923FC">
              <w:rPr>
                <w:rFonts w:ascii="Tahoma" w:hAnsi="Tahoma" w:cs="Tahoma"/>
                <w:bCs/>
                <w:spacing w:val="-3"/>
              </w:rPr>
              <w:t>471 pesos</w:t>
            </w:r>
          </w:p>
        </w:tc>
      </w:tr>
      <w:tr w:rsidR="0051786B" w:rsidRPr="005923FC" w:rsidTr="001607F4">
        <w:tc>
          <w:tcPr>
            <w:tcW w:w="2225" w:type="dxa"/>
            <w:vAlign w:val="center"/>
          </w:tcPr>
          <w:p w:rsidR="0051786B" w:rsidRPr="005923FC" w:rsidRDefault="0051786B" w:rsidP="005923FC">
            <w:pPr>
              <w:pStyle w:val="Default"/>
              <w:rPr>
                <w:rFonts w:ascii="Tahoma" w:hAnsi="Tahoma" w:cs="Tahoma"/>
                <w:bCs/>
                <w:spacing w:val="-3"/>
              </w:rPr>
            </w:pPr>
            <w:r w:rsidRPr="005923FC">
              <w:rPr>
                <w:rFonts w:ascii="Tahoma" w:hAnsi="Tahoma" w:cs="Tahoma"/>
                <w:bCs/>
                <w:spacing w:val="-3"/>
              </w:rPr>
              <w:t>Monogafas</w:t>
            </w:r>
          </w:p>
        </w:tc>
        <w:tc>
          <w:tcPr>
            <w:tcW w:w="1966" w:type="dxa"/>
            <w:vAlign w:val="center"/>
          </w:tcPr>
          <w:p w:rsidR="0051786B" w:rsidRPr="005923FC" w:rsidRDefault="0051786B" w:rsidP="005923FC">
            <w:pPr>
              <w:pStyle w:val="Default"/>
              <w:rPr>
                <w:rFonts w:ascii="Tahoma" w:hAnsi="Tahoma" w:cs="Tahoma"/>
                <w:bCs/>
                <w:spacing w:val="-3"/>
              </w:rPr>
            </w:pPr>
            <w:r w:rsidRPr="005923FC">
              <w:rPr>
                <w:rFonts w:ascii="Tahoma" w:hAnsi="Tahoma" w:cs="Tahoma"/>
                <w:bCs/>
                <w:spacing w:val="-3"/>
              </w:rPr>
              <w:t>1.538</w:t>
            </w:r>
          </w:p>
        </w:tc>
        <w:tc>
          <w:tcPr>
            <w:tcW w:w="2109" w:type="dxa"/>
            <w:vAlign w:val="center"/>
          </w:tcPr>
          <w:p w:rsidR="0051786B" w:rsidRPr="005923FC" w:rsidRDefault="0051786B" w:rsidP="005923FC">
            <w:pPr>
              <w:pStyle w:val="Default"/>
              <w:rPr>
                <w:rFonts w:ascii="Tahoma" w:hAnsi="Tahoma" w:cs="Tahoma"/>
                <w:bCs/>
                <w:spacing w:val="-3"/>
              </w:rPr>
            </w:pPr>
            <w:r w:rsidRPr="005923FC">
              <w:rPr>
                <w:rFonts w:ascii="Tahoma" w:hAnsi="Tahoma" w:cs="Tahoma"/>
                <w:bCs/>
                <w:spacing w:val="-3"/>
              </w:rPr>
              <w:t xml:space="preserve">MG </w:t>
            </w:r>
          </w:p>
          <w:p w:rsidR="0051786B" w:rsidRPr="005923FC" w:rsidRDefault="0051786B" w:rsidP="005923FC">
            <w:pPr>
              <w:pStyle w:val="Default"/>
              <w:rPr>
                <w:rFonts w:ascii="Tahoma" w:hAnsi="Tahoma" w:cs="Tahoma"/>
                <w:bCs/>
                <w:spacing w:val="-3"/>
              </w:rPr>
            </w:pPr>
            <w:r w:rsidRPr="005923FC">
              <w:rPr>
                <w:rFonts w:ascii="Tahoma" w:hAnsi="Tahoma" w:cs="Tahoma"/>
                <w:bCs/>
                <w:spacing w:val="-3"/>
              </w:rPr>
              <w:t>6.000</w:t>
            </w:r>
          </w:p>
        </w:tc>
        <w:tc>
          <w:tcPr>
            <w:tcW w:w="1808" w:type="dxa"/>
            <w:shd w:val="clear" w:color="auto" w:fill="FFF2CC" w:themeFill="accent4" w:themeFillTint="33"/>
            <w:vAlign w:val="center"/>
          </w:tcPr>
          <w:p w:rsidR="0051786B" w:rsidRPr="005923FC" w:rsidRDefault="0051786B" w:rsidP="005923FC">
            <w:pPr>
              <w:pStyle w:val="Default"/>
              <w:rPr>
                <w:rFonts w:ascii="Tahoma" w:hAnsi="Tahoma" w:cs="Tahoma"/>
                <w:bCs/>
                <w:spacing w:val="-3"/>
              </w:rPr>
            </w:pPr>
            <w:r w:rsidRPr="005923FC">
              <w:rPr>
                <w:rFonts w:ascii="Tahoma" w:hAnsi="Tahoma" w:cs="Tahoma"/>
                <w:bCs/>
                <w:spacing w:val="-3"/>
              </w:rPr>
              <w:t>3.9 pesos?</w:t>
            </w:r>
          </w:p>
        </w:tc>
      </w:tr>
      <w:tr w:rsidR="0051786B" w:rsidRPr="005923FC" w:rsidTr="001607F4">
        <w:tc>
          <w:tcPr>
            <w:tcW w:w="2225" w:type="dxa"/>
            <w:vAlign w:val="center"/>
          </w:tcPr>
          <w:p w:rsidR="0051786B" w:rsidRPr="005923FC" w:rsidRDefault="0051786B" w:rsidP="005923FC">
            <w:pPr>
              <w:pStyle w:val="Default"/>
              <w:rPr>
                <w:rFonts w:ascii="Tahoma" w:hAnsi="Tahoma" w:cs="Tahoma"/>
                <w:bCs/>
                <w:spacing w:val="-3"/>
              </w:rPr>
            </w:pPr>
            <w:r w:rsidRPr="005923FC">
              <w:rPr>
                <w:rFonts w:ascii="Tahoma" w:hAnsi="Tahoma" w:cs="Tahoma"/>
                <w:bCs/>
                <w:spacing w:val="-3"/>
              </w:rPr>
              <w:t>Gel Antibacterial 2</w:t>
            </w:r>
          </w:p>
        </w:tc>
        <w:tc>
          <w:tcPr>
            <w:tcW w:w="1966" w:type="dxa"/>
            <w:vAlign w:val="center"/>
          </w:tcPr>
          <w:p w:rsidR="0051786B" w:rsidRPr="005923FC" w:rsidRDefault="0051786B" w:rsidP="005923FC">
            <w:pPr>
              <w:pStyle w:val="Default"/>
              <w:rPr>
                <w:rFonts w:ascii="Tahoma" w:hAnsi="Tahoma" w:cs="Tahoma"/>
                <w:bCs/>
                <w:spacing w:val="-3"/>
              </w:rPr>
            </w:pPr>
            <w:r w:rsidRPr="005923FC">
              <w:rPr>
                <w:rFonts w:ascii="Tahoma" w:hAnsi="Tahoma" w:cs="Tahoma"/>
                <w:bCs/>
                <w:spacing w:val="-3"/>
              </w:rPr>
              <w:t>7.760</w:t>
            </w:r>
          </w:p>
        </w:tc>
        <w:tc>
          <w:tcPr>
            <w:tcW w:w="2109" w:type="dxa"/>
            <w:vAlign w:val="center"/>
          </w:tcPr>
          <w:p w:rsidR="0051786B" w:rsidRPr="005923FC" w:rsidRDefault="0051786B" w:rsidP="005923FC">
            <w:pPr>
              <w:pStyle w:val="Default"/>
              <w:rPr>
                <w:rFonts w:ascii="Tahoma" w:hAnsi="Tahoma" w:cs="Tahoma"/>
                <w:bCs/>
                <w:spacing w:val="-3"/>
              </w:rPr>
            </w:pPr>
            <w:r w:rsidRPr="005923FC">
              <w:rPr>
                <w:rFonts w:ascii="Tahoma" w:hAnsi="Tahoma" w:cs="Tahoma"/>
                <w:bCs/>
                <w:spacing w:val="-3"/>
              </w:rPr>
              <w:t>Cosmet IKA S.A.S</w:t>
            </w:r>
          </w:p>
          <w:p w:rsidR="0051786B" w:rsidRPr="005923FC" w:rsidRDefault="0051786B" w:rsidP="005923FC">
            <w:pPr>
              <w:pStyle w:val="Default"/>
              <w:rPr>
                <w:rFonts w:ascii="Tahoma" w:hAnsi="Tahoma" w:cs="Tahoma"/>
                <w:bCs/>
                <w:spacing w:val="-3"/>
              </w:rPr>
            </w:pPr>
            <w:r w:rsidRPr="005923FC">
              <w:rPr>
                <w:rFonts w:ascii="Tahoma" w:hAnsi="Tahoma" w:cs="Tahoma"/>
                <w:bCs/>
                <w:spacing w:val="-3"/>
              </w:rPr>
              <w:t>6.500</w:t>
            </w:r>
          </w:p>
        </w:tc>
        <w:tc>
          <w:tcPr>
            <w:tcW w:w="1808" w:type="dxa"/>
            <w:shd w:val="clear" w:color="auto" w:fill="FFF2CC" w:themeFill="accent4" w:themeFillTint="33"/>
            <w:vAlign w:val="center"/>
          </w:tcPr>
          <w:p w:rsidR="0051786B" w:rsidRPr="005923FC" w:rsidRDefault="0051786B" w:rsidP="005923FC">
            <w:pPr>
              <w:pStyle w:val="Default"/>
              <w:rPr>
                <w:rFonts w:ascii="Tahoma" w:hAnsi="Tahoma" w:cs="Tahoma"/>
                <w:bCs/>
                <w:spacing w:val="-3"/>
              </w:rPr>
            </w:pPr>
            <w:r w:rsidRPr="005923FC">
              <w:rPr>
                <w:rFonts w:ascii="Tahoma" w:hAnsi="Tahoma" w:cs="Tahoma"/>
                <w:bCs/>
                <w:spacing w:val="-3"/>
              </w:rPr>
              <w:t>1.19 pesos?</w:t>
            </w:r>
          </w:p>
        </w:tc>
      </w:tr>
    </w:tbl>
    <w:p w:rsidR="0051786B" w:rsidRPr="005923FC" w:rsidRDefault="0051786B" w:rsidP="005923FC">
      <w:pPr>
        <w:pStyle w:val="Default"/>
        <w:ind w:left="720"/>
        <w:jc w:val="center"/>
        <w:rPr>
          <w:rFonts w:ascii="Tahoma" w:hAnsi="Tahoma" w:cs="Tahoma"/>
          <w:bCs/>
          <w:spacing w:val="-3"/>
          <w:sz w:val="22"/>
          <w:szCs w:val="22"/>
        </w:rPr>
      </w:pPr>
      <w:r w:rsidRPr="005923FC">
        <w:rPr>
          <w:rFonts w:ascii="Tahoma" w:hAnsi="Tahoma" w:cs="Tahoma"/>
          <w:bCs/>
          <w:spacing w:val="-3"/>
          <w:sz w:val="22"/>
          <w:szCs w:val="22"/>
        </w:rPr>
        <w:t>*Cálculo realizado por la VD con base en la Tabla 4, del Análisis Económico (p. 7)</w:t>
      </w:r>
    </w:p>
    <w:p w:rsidR="0051786B" w:rsidRDefault="0051786B" w:rsidP="005923FC">
      <w:pPr>
        <w:pStyle w:val="Default"/>
        <w:ind w:left="720"/>
        <w:jc w:val="center"/>
        <w:rPr>
          <w:rFonts w:ascii="Tahoma" w:hAnsi="Tahoma" w:cs="Tahoma"/>
          <w:bCs/>
          <w:spacing w:val="-3"/>
          <w:sz w:val="22"/>
          <w:szCs w:val="22"/>
        </w:rPr>
      </w:pPr>
    </w:p>
    <w:p w:rsidR="004108D4" w:rsidRDefault="004108D4" w:rsidP="005923FC">
      <w:pPr>
        <w:pStyle w:val="Default"/>
        <w:ind w:left="720"/>
        <w:jc w:val="center"/>
        <w:rPr>
          <w:rFonts w:ascii="Tahoma" w:hAnsi="Tahoma" w:cs="Tahoma"/>
          <w:bCs/>
          <w:spacing w:val="-3"/>
          <w:sz w:val="22"/>
          <w:szCs w:val="22"/>
        </w:rPr>
      </w:pPr>
    </w:p>
    <w:p w:rsidR="004108D4" w:rsidRPr="004108D4" w:rsidRDefault="004108D4" w:rsidP="004108D4">
      <w:pPr>
        <w:ind w:firstLine="360"/>
        <w:jc w:val="both"/>
        <w:rPr>
          <w:rFonts w:ascii="Tahoma" w:hAnsi="Tahoma" w:cs="Tahoma"/>
          <w:color w:val="4472C4" w:themeColor="accent1"/>
          <w:sz w:val="22"/>
          <w:szCs w:val="22"/>
          <w:lang w:val="es-ES"/>
        </w:rPr>
      </w:pPr>
      <w:r w:rsidRPr="004108D4">
        <w:rPr>
          <w:rFonts w:ascii="Tahoma" w:hAnsi="Tahoma" w:cs="Tahoma"/>
          <w:color w:val="4472C4" w:themeColor="accent1"/>
          <w:sz w:val="22"/>
          <w:szCs w:val="22"/>
          <w:lang w:val="es-ES"/>
        </w:rPr>
        <w:t xml:space="preserve">LMD Y </w:t>
      </w:r>
      <w:r>
        <w:rPr>
          <w:rFonts w:ascii="Tahoma" w:hAnsi="Tahoma" w:cs="Tahoma"/>
          <w:color w:val="4472C4" w:themeColor="accent1"/>
          <w:sz w:val="22"/>
          <w:szCs w:val="22"/>
          <w:lang w:val="es-ES"/>
        </w:rPr>
        <w:t>ANGELICA</w:t>
      </w:r>
    </w:p>
    <w:p w:rsidR="004108D4" w:rsidRPr="005923FC" w:rsidRDefault="004108D4" w:rsidP="005923FC">
      <w:pPr>
        <w:pStyle w:val="Default"/>
        <w:ind w:left="720"/>
        <w:jc w:val="center"/>
        <w:rPr>
          <w:rFonts w:ascii="Tahoma" w:hAnsi="Tahoma" w:cs="Tahoma"/>
          <w:bCs/>
          <w:spacing w:val="-3"/>
          <w:sz w:val="22"/>
          <w:szCs w:val="22"/>
        </w:rPr>
      </w:pPr>
    </w:p>
    <w:p w:rsidR="0051786B" w:rsidRPr="005923FC" w:rsidRDefault="0095239F" w:rsidP="004108D4">
      <w:pPr>
        <w:pStyle w:val="Default"/>
        <w:numPr>
          <w:ilvl w:val="1"/>
          <w:numId w:val="3"/>
        </w:numPr>
        <w:jc w:val="both"/>
        <w:rPr>
          <w:rFonts w:ascii="Tahoma" w:hAnsi="Tahoma" w:cs="Tahoma"/>
          <w:bCs/>
          <w:spacing w:val="-3"/>
          <w:sz w:val="22"/>
          <w:szCs w:val="22"/>
        </w:rPr>
      </w:pPr>
      <w:r w:rsidRPr="005923FC">
        <w:rPr>
          <w:rFonts w:ascii="Tahoma" w:hAnsi="Tahoma" w:cs="Tahoma"/>
          <w:bCs/>
          <w:spacing w:val="-3"/>
          <w:sz w:val="22"/>
          <w:szCs w:val="22"/>
        </w:rPr>
        <w:t>Se i</w:t>
      </w:r>
      <w:r w:rsidR="0051786B" w:rsidRPr="005923FC">
        <w:rPr>
          <w:rFonts w:ascii="Tahoma" w:hAnsi="Tahoma" w:cs="Tahoma"/>
          <w:bCs/>
          <w:spacing w:val="-3"/>
          <w:sz w:val="22"/>
          <w:szCs w:val="22"/>
        </w:rPr>
        <w:t xml:space="preserve">dentifica una diferencia en las cantidades a comprar en 5 </w:t>
      </w:r>
      <w:r w:rsidR="009C7467" w:rsidRPr="005923FC">
        <w:rPr>
          <w:rFonts w:ascii="Tahoma" w:hAnsi="Tahoma" w:cs="Tahoma"/>
          <w:bCs/>
          <w:spacing w:val="-3"/>
          <w:sz w:val="22"/>
          <w:szCs w:val="22"/>
        </w:rPr>
        <w:t>í</w:t>
      </w:r>
      <w:r w:rsidR="0051786B" w:rsidRPr="005923FC">
        <w:rPr>
          <w:rFonts w:ascii="Tahoma" w:hAnsi="Tahoma" w:cs="Tahoma"/>
          <w:bCs/>
          <w:spacing w:val="-3"/>
          <w:sz w:val="22"/>
          <w:szCs w:val="22"/>
        </w:rPr>
        <w:t xml:space="preserve">tems que se relacionan a continuación. Sugerimos aclarar </w:t>
      </w:r>
      <w:r w:rsidR="009C7467" w:rsidRPr="005923FC">
        <w:rPr>
          <w:rFonts w:ascii="Tahoma" w:hAnsi="Tahoma" w:cs="Tahoma"/>
          <w:bCs/>
          <w:spacing w:val="-3"/>
          <w:sz w:val="22"/>
          <w:szCs w:val="22"/>
        </w:rPr>
        <w:t xml:space="preserve">el </w:t>
      </w:r>
      <w:r w:rsidR="0051786B" w:rsidRPr="005923FC">
        <w:rPr>
          <w:rFonts w:ascii="Tahoma" w:hAnsi="Tahoma" w:cs="Tahoma"/>
          <w:bCs/>
          <w:spacing w:val="-3"/>
          <w:sz w:val="22"/>
          <w:szCs w:val="22"/>
        </w:rPr>
        <w:t>porqu</w:t>
      </w:r>
      <w:r w:rsidR="009C7467" w:rsidRPr="005923FC">
        <w:rPr>
          <w:rFonts w:ascii="Tahoma" w:hAnsi="Tahoma" w:cs="Tahoma"/>
          <w:bCs/>
          <w:spacing w:val="-3"/>
          <w:sz w:val="22"/>
          <w:szCs w:val="22"/>
        </w:rPr>
        <w:t>é</w:t>
      </w:r>
      <w:r w:rsidR="0051786B" w:rsidRPr="005923FC">
        <w:rPr>
          <w:rFonts w:ascii="Tahoma" w:hAnsi="Tahoma" w:cs="Tahoma"/>
          <w:bCs/>
          <w:spacing w:val="-3"/>
          <w:sz w:val="22"/>
          <w:szCs w:val="22"/>
        </w:rPr>
        <w:t xml:space="preserve"> </w:t>
      </w:r>
      <w:r w:rsidR="009C7467" w:rsidRPr="005923FC">
        <w:rPr>
          <w:rFonts w:ascii="Tahoma" w:hAnsi="Tahoma" w:cs="Tahoma"/>
          <w:bCs/>
          <w:spacing w:val="-3"/>
          <w:sz w:val="22"/>
          <w:szCs w:val="22"/>
        </w:rPr>
        <w:t xml:space="preserve">de </w:t>
      </w:r>
      <w:r w:rsidR="0051786B" w:rsidRPr="005923FC">
        <w:rPr>
          <w:rFonts w:ascii="Tahoma" w:hAnsi="Tahoma" w:cs="Tahoma"/>
          <w:bCs/>
          <w:spacing w:val="-3"/>
          <w:sz w:val="22"/>
          <w:szCs w:val="22"/>
        </w:rPr>
        <w:t>esta diferencia</w:t>
      </w:r>
      <w:r w:rsidR="009C7467" w:rsidRPr="005923FC">
        <w:rPr>
          <w:rFonts w:ascii="Tahoma" w:hAnsi="Tahoma" w:cs="Tahoma"/>
          <w:bCs/>
          <w:spacing w:val="-3"/>
          <w:sz w:val="22"/>
          <w:szCs w:val="22"/>
        </w:rPr>
        <w:t>:</w:t>
      </w:r>
    </w:p>
    <w:p w:rsidR="0051786B" w:rsidRPr="005923FC" w:rsidRDefault="0051786B" w:rsidP="005923FC">
      <w:pPr>
        <w:pStyle w:val="Default"/>
        <w:rPr>
          <w:rFonts w:ascii="Tahoma" w:hAnsi="Tahoma" w:cs="Tahoma"/>
          <w:bCs/>
          <w:spacing w:val="-3"/>
          <w:sz w:val="22"/>
          <w:szCs w:val="22"/>
        </w:rPr>
      </w:pPr>
    </w:p>
    <w:tbl>
      <w:tblPr>
        <w:tblW w:w="5000" w:type="pct"/>
        <w:tblCellMar>
          <w:left w:w="0" w:type="dxa"/>
          <w:right w:w="0" w:type="dxa"/>
        </w:tblCellMar>
        <w:tblLook w:val="04A0" w:firstRow="1" w:lastRow="0" w:firstColumn="1" w:lastColumn="0" w:noHBand="0" w:noVBand="1"/>
      </w:tblPr>
      <w:tblGrid>
        <w:gridCol w:w="473"/>
        <w:gridCol w:w="2694"/>
        <w:gridCol w:w="1613"/>
        <w:gridCol w:w="1703"/>
        <w:gridCol w:w="2335"/>
      </w:tblGrid>
      <w:tr w:rsidR="0051786B" w:rsidRPr="005923FC" w:rsidTr="001607F4">
        <w:trPr>
          <w:trHeight w:val="510"/>
          <w:tblHeader/>
        </w:trPr>
        <w:tc>
          <w:tcPr>
            <w:tcW w:w="255"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i/>
                <w:iCs/>
                <w:sz w:val="22"/>
                <w:szCs w:val="22"/>
                <w:lang w:eastAsia="es-CO"/>
              </w:rPr>
            </w:pPr>
            <w:r w:rsidRPr="005923FC">
              <w:rPr>
                <w:rFonts w:ascii="Tahoma" w:eastAsia="Times New Roman" w:hAnsi="Tahoma" w:cs="Tahoma"/>
                <w:i/>
                <w:iCs/>
                <w:color w:val="000000"/>
                <w:sz w:val="22"/>
                <w:szCs w:val="22"/>
                <w:lang w:eastAsia="es-CO"/>
              </w:rPr>
              <w:t>No.</w:t>
            </w:r>
          </w:p>
        </w:tc>
        <w:tc>
          <w:tcPr>
            <w:tcW w:w="1531"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i/>
                <w:iCs/>
                <w:sz w:val="22"/>
                <w:szCs w:val="22"/>
                <w:lang w:eastAsia="es-CO"/>
              </w:rPr>
            </w:pPr>
            <w:r w:rsidRPr="005923FC">
              <w:rPr>
                <w:rFonts w:ascii="Tahoma" w:eastAsia="Times New Roman" w:hAnsi="Tahoma" w:cs="Tahoma"/>
                <w:i/>
                <w:iCs/>
                <w:sz w:val="22"/>
                <w:szCs w:val="22"/>
                <w:lang w:eastAsia="es-CO"/>
              </w:rPr>
              <w:t>Item</w:t>
            </w:r>
          </w:p>
        </w:tc>
        <w:tc>
          <w:tcPr>
            <w:tcW w:w="918"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i/>
                <w:iCs/>
                <w:color w:val="000000"/>
                <w:sz w:val="22"/>
                <w:szCs w:val="22"/>
                <w:lang w:eastAsia="es-CO"/>
              </w:rPr>
            </w:pPr>
            <w:r w:rsidRPr="005923FC">
              <w:rPr>
                <w:rFonts w:ascii="Tahoma" w:eastAsia="Times New Roman" w:hAnsi="Tahoma" w:cs="Tahoma"/>
                <w:i/>
                <w:iCs/>
                <w:color w:val="000000"/>
                <w:sz w:val="22"/>
                <w:szCs w:val="22"/>
                <w:lang w:eastAsia="es-CO"/>
              </w:rPr>
              <w:t>Anexo Técnico</w:t>
            </w:r>
          </w:p>
          <w:p w:rsidR="0051786B" w:rsidRPr="005923FC" w:rsidRDefault="0051786B" w:rsidP="005923FC">
            <w:pPr>
              <w:jc w:val="center"/>
              <w:rPr>
                <w:rFonts w:ascii="Tahoma" w:eastAsia="Times New Roman" w:hAnsi="Tahoma" w:cs="Tahoma"/>
                <w:i/>
                <w:iCs/>
                <w:sz w:val="22"/>
                <w:szCs w:val="22"/>
                <w:lang w:eastAsia="es-CO"/>
              </w:rPr>
            </w:pPr>
            <w:r w:rsidRPr="005923FC">
              <w:rPr>
                <w:rFonts w:ascii="Tahoma" w:eastAsia="Times New Roman" w:hAnsi="Tahoma" w:cs="Tahoma"/>
                <w:i/>
                <w:iCs/>
                <w:sz w:val="22"/>
                <w:szCs w:val="22"/>
                <w:lang w:eastAsia="es-CO"/>
              </w:rPr>
              <w:t>(p. 4 y 5)</w:t>
            </w:r>
          </w:p>
        </w:tc>
        <w:tc>
          <w:tcPr>
            <w:tcW w:w="969"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i/>
                <w:iCs/>
                <w:color w:val="000000"/>
                <w:sz w:val="22"/>
                <w:szCs w:val="22"/>
                <w:lang w:eastAsia="es-CO"/>
              </w:rPr>
            </w:pPr>
            <w:r w:rsidRPr="005923FC">
              <w:rPr>
                <w:rFonts w:ascii="Tahoma" w:eastAsia="Times New Roman" w:hAnsi="Tahoma" w:cs="Tahoma"/>
                <w:i/>
                <w:iCs/>
                <w:color w:val="000000"/>
                <w:sz w:val="22"/>
                <w:szCs w:val="22"/>
                <w:lang w:eastAsia="es-CO"/>
              </w:rPr>
              <w:t>Análisis Económico</w:t>
            </w:r>
          </w:p>
          <w:p w:rsidR="0051786B" w:rsidRPr="005923FC" w:rsidRDefault="0051786B" w:rsidP="005923FC">
            <w:pPr>
              <w:jc w:val="center"/>
              <w:rPr>
                <w:rFonts w:ascii="Tahoma" w:eastAsia="Times New Roman" w:hAnsi="Tahoma" w:cs="Tahoma"/>
                <w:i/>
                <w:iCs/>
                <w:sz w:val="22"/>
                <w:szCs w:val="22"/>
                <w:lang w:eastAsia="es-CO"/>
              </w:rPr>
            </w:pPr>
            <w:r w:rsidRPr="005923FC">
              <w:rPr>
                <w:rFonts w:ascii="Tahoma" w:eastAsia="Times New Roman" w:hAnsi="Tahoma" w:cs="Tahoma"/>
                <w:i/>
                <w:iCs/>
                <w:sz w:val="22"/>
                <w:szCs w:val="22"/>
                <w:lang w:eastAsia="es-CO"/>
              </w:rPr>
              <w:t>(Tabla 5, p. 8)</w:t>
            </w:r>
          </w:p>
        </w:tc>
        <w:tc>
          <w:tcPr>
            <w:tcW w:w="132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i/>
                <w:iCs/>
                <w:sz w:val="22"/>
                <w:szCs w:val="22"/>
                <w:lang w:eastAsia="es-CO"/>
              </w:rPr>
            </w:pPr>
            <w:r w:rsidRPr="005923FC">
              <w:rPr>
                <w:rFonts w:ascii="Tahoma" w:eastAsia="Times New Roman" w:hAnsi="Tahoma" w:cs="Tahoma"/>
                <w:i/>
                <w:iCs/>
                <w:color w:val="000000"/>
                <w:sz w:val="22"/>
                <w:szCs w:val="22"/>
                <w:lang w:eastAsia="es-CO"/>
              </w:rPr>
              <w:t>Cantidades Adicionales*</w:t>
            </w:r>
          </w:p>
        </w:tc>
      </w:tr>
      <w:tr w:rsidR="0051786B" w:rsidRPr="005923FC" w:rsidTr="001607F4">
        <w:trPr>
          <w:trHeight w:val="510"/>
        </w:trPr>
        <w:tc>
          <w:tcPr>
            <w:tcW w:w="25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11</w:t>
            </w:r>
          </w:p>
        </w:tc>
        <w:tc>
          <w:tcPr>
            <w:tcW w:w="153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GEL ANTIBACTERIAL 4</w:t>
            </w:r>
          </w:p>
        </w:tc>
        <w:tc>
          <w:tcPr>
            <w:tcW w:w="91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602</w:t>
            </w:r>
          </w:p>
        </w:tc>
        <w:tc>
          <w:tcPr>
            <w:tcW w:w="96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702</w:t>
            </w:r>
          </w:p>
        </w:tc>
        <w:tc>
          <w:tcPr>
            <w:tcW w:w="132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100</w:t>
            </w:r>
          </w:p>
        </w:tc>
      </w:tr>
      <w:tr w:rsidR="0051786B" w:rsidRPr="005923FC" w:rsidTr="001607F4">
        <w:trPr>
          <w:trHeight w:val="510"/>
        </w:trPr>
        <w:tc>
          <w:tcPr>
            <w:tcW w:w="25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18</w:t>
            </w:r>
          </w:p>
        </w:tc>
        <w:tc>
          <w:tcPr>
            <w:tcW w:w="153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MONOGAFAS</w:t>
            </w:r>
          </w:p>
        </w:tc>
        <w:tc>
          <w:tcPr>
            <w:tcW w:w="91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2869</w:t>
            </w:r>
          </w:p>
        </w:tc>
        <w:tc>
          <w:tcPr>
            <w:tcW w:w="96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1382</w:t>
            </w:r>
          </w:p>
        </w:tc>
        <w:tc>
          <w:tcPr>
            <w:tcW w:w="132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FF0000"/>
                <w:sz w:val="22"/>
                <w:szCs w:val="22"/>
                <w:lang w:eastAsia="es-CO"/>
              </w:rPr>
              <w:t>-1487</w:t>
            </w:r>
          </w:p>
        </w:tc>
      </w:tr>
      <w:tr w:rsidR="0051786B" w:rsidRPr="005923FC" w:rsidTr="001607F4">
        <w:trPr>
          <w:trHeight w:val="510"/>
        </w:trPr>
        <w:tc>
          <w:tcPr>
            <w:tcW w:w="25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19</w:t>
            </w:r>
          </w:p>
        </w:tc>
        <w:tc>
          <w:tcPr>
            <w:tcW w:w="153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TAPABOCAS 1</w:t>
            </w:r>
          </w:p>
        </w:tc>
        <w:tc>
          <w:tcPr>
            <w:tcW w:w="91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1747</w:t>
            </w:r>
          </w:p>
        </w:tc>
        <w:tc>
          <w:tcPr>
            <w:tcW w:w="96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1764</w:t>
            </w:r>
          </w:p>
        </w:tc>
        <w:tc>
          <w:tcPr>
            <w:tcW w:w="132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17</w:t>
            </w:r>
          </w:p>
        </w:tc>
      </w:tr>
      <w:tr w:rsidR="0051786B" w:rsidRPr="005923FC" w:rsidTr="001607F4">
        <w:trPr>
          <w:trHeight w:val="510"/>
        </w:trPr>
        <w:tc>
          <w:tcPr>
            <w:tcW w:w="25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20</w:t>
            </w:r>
          </w:p>
        </w:tc>
        <w:tc>
          <w:tcPr>
            <w:tcW w:w="153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TAPABOCAS 2</w:t>
            </w:r>
          </w:p>
        </w:tc>
        <w:tc>
          <w:tcPr>
            <w:tcW w:w="91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2391</w:t>
            </w:r>
          </w:p>
        </w:tc>
        <w:tc>
          <w:tcPr>
            <w:tcW w:w="96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2501</w:t>
            </w:r>
          </w:p>
        </w:tc>
        <w:tc>
          <w:tcPr>
            <w:tcW w:w="132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140</w:t>
            </w:r>
          </w:p>
        </w:tc>
      </w:tr>
      <w:tr w:rsidR="0051786B" w:rsidRPr="005923FC" w:rsidTr="001607F4">
        <w:trPr>
          <w:trHeight w:val="510"/>
        </w:trPr>
        <w:tc>
          <w:tcPr>
            <w:tcW w:w="255"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23</w:t>
            </w:r>
          </w:p>
        </w:tc>
        <w:tc>
          <w:tcPr>
            <w:tcW w:w="153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TOALLAS DESECHABLES</w:t>
            </w:r>
          </w:p>
        </w:tc>
        <w:tc>
          <w:tcPr>
            <w:tcW w:w="91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2593</w:t>
            </w:r>
          </w:p>
        </w:tc>
        <w:tc>
          <w:tcPr>
            <w:tcW w:w="96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2693</w:t>
            </w:r>
          </w:p>
        </w:tc>
        <w:tc>
          <w:tcPr>
            <w:tcW w:w="1327"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1786B" w:rsidRPr="005923FC" w:rsidRDefault="0051786B" w:rsidP="005923FC">
            <w:pPr>
              <w:jc w:val="center"/>
              <w:rPr>
                <w:rFonts w:ascii="Tahoma" w:eastAsia="Times New Roman" w:hAnsi="Tahoma" w:cs="Tahoma"/>
                <w:sz w:val="22"/>
                <w:szCs w:val="22"/>
                <w:lang w:eastAsia="es-CO"/>
              </w:rPr>
            </w:pPr>
            <w:r w:rsidRPr="005923FC">
              <w:rPr>
                <w:rFonts w:ascii="Tahoma" w:eastAsia="Times New Roman" w:hAnsi="Tahoma" w:cs="Tahoma"/>
                <w:color w:val="000000"/>
                <w:sz w:val="22"/>
                <w:szCs w:val="22"/>
                <w:lang w:eastAsia="es-CO"/>
              </w:rPr>
              <w:t>100</w:t>
            </w:r>
          </w:p>
        </w:tc>
      </w:tr>
    </w:tbl>
    <w:p w:rsidR="0051786B" w:rsidRPr="005923FC" w:rsidRDefault="0051786B" w:rsidP="005923FC">
      <w:pPr>
        <w:pStyle w:val="Default"/>
        <w:ind w:left="720"/>
        <w:jc w:val="center"/>
        <w:rPr>
          <w:rFonts w:ascii="Tahoma" w:hAnsi="Tahoma" w:cs="Tahoma"/>
          <w:bCs/>
          <w:spacing w:val="-3"/>
          <w:sz w:val="22"/>
          <w:szCs w:val="22"/>
        </w:rPr>
      </w:pPr>
      <w:r w:rsidRPr="005923FC">
        <w:rPr>
          <w:rFonts w:ascii="Tahoma" w:hAnsi="Tahoma" w:cs="Tahoma"/>
          <w:bCs/>
          <w:spacing w:val="-3"/>
          <w:sz w:val="22"/>
          <w:szCs w:val="22"/>
        </w:rPr>
        <w:t xml:space="preserve">*Cálculo realizado por la VD con base en las columnas inmediatamente anteriores. </w:t>
      </w:r>
    </w:p>
    <w:p w:rsidR="0051786B" w:rsidRDefault="0051786B" w:rsidP="005923FC">
      <w:pPr>
        <w:jc w:val="both"/>
        <w:rPr>
          <w:rFonts w:ascii="Tahoma" w:hAnsi="Tahoma" w:cs="Tahoma"/>
          <w:sz w:val="22"/>
          <w:szCs w:val="22"/>
          <w:lang w:val="es-ES"/>
        </w:rPr>
      </w:pPr>
    </w:p>
    <w:p w:rsidR="004108D4" w:rsidRPr="004108D4" w:rsidRDefault="004108D4" w:rsidP="004108D4">
      <w:pPr>
        <w:ind w:firstLine="360"/>
        <w:jc w:val="both"/>
        <w:rPr>
          <w:rFonts w:ascii="Tahoma" w:hAnsi="Tahoma" w:cs="Tahoma"/>
          <w:color w:val="4472C4" w:themeColor="accent1"/>
          <w:sz w:val="22"/>
          <w:szCs w:val="22"/>
          <w:lang w:val="es-ES"/>
        </w:rPr>
      </w:pPr>
      <w:r w:rsidRPr="004108D4">
        <w:rPr>
          <w:rFonts w:ascii="Tahoma" w:hAnsi="Tahoma" w:cs="Tahoma"/>
          <w:color w:val="4472C4" w:themeColor="accent1"/>
          <w:sz w:val="22"/>
          <w:szCs w:val="22"/>
          <w:lang w:val="es-ES"/>
        </w:rPr>
        <w:t>LMD Y GONZALO</w:t>
      </w:r>
    </w:p>
    <w:p w:rsidR="004108D4" w:rsidRDefault="004108D4" w:rsidP="005923FC">
      <w:pPr>
        <w:jc w:val="both"/>
        <w:rPr>
          <w:rFonts w:ascii="Tahoma" w:hAnsi="Tahoma" w:cs="Tahoma"/>
          <w:sz w:val="22"/>
          <w:szCs w:val="22"/>
          <w:lang w:val="es-ES"/>
        </w:rPr>
      </w:pPr>
    </w:p>
    <w:p w:rsidR="004108D4" w:rsidRPr="005923FC" w:rsidRDefault="004108D4" w:rsidP="005923FC">
      <w:pPr>
        <w:jc w:val="both"/>
        <w:rPr>
          <w:rFonts w:ascii="Tahoma" w:hAnsi="Tahoma" w:cs="Tahoma"/>
          <w:sz w:val="22"/>
          <w:szCs w:val="22"/>
          <w:lang w:val="es-ES"/>
        </w:rPr>
      </w:pPr>
    </w:p>
    <w:p w:rsidR="001131D4" w:rsidRPr="004108D4" w:rsidRDefault="001131D4" w:rsidP="004108D4">
      <w:pPr>
        <w:pStyle w:val="Prrafodelista"/>
        <w:numPr>
          <w:ilvl w:val="0"/>
          <w:numId w:val="3"/>
        </w:numPr>
        <w:jc w:val="both"/>
        <w:rPr>
          <w:rFonts w:ascii="Tahoma" w:hAnsi="Tahoma" w:cs="Tahoma"/>
          <w:b/>
          <w:bCs/>
          <w:lang w:val="es-ES"/>
        </w:rPr>
      </w:pPr>
      <w:r w:rsidRPr="004108D4">
        <w:rPr>
          <w:rFonts w:ascii="Tahoma" w:hAnsi="Tahoma" w:cs="Tahoma"/>
          <w:bCs/>
        </w:rPr>
        <w:t xml:space="preserve">No obstante la modalidad de </w:t>
      </w:r>
      <w:r w:rsidR="00F36427" w:rsidRPr="004108D4">
        <w:rPr>
          <w:rFonts w:ascii="Tahoma" w:hAnsi="Tahoma" w:cs="Tahoma"/>
          <w:bCs/>
        </w:rPr>
        <w:t xml:space="preserve">urgencia manifiesta, en cuanto a la </w:t>
      </w:r>
      <w:r w:rsidRPr="004108D4">
        <w:rPr>
          <w:rFonts w:ascii="Tahoma" w:hAnsi="Tahoma" w:cs="Tahoma"/>
          <w:bCs/>
        </w:rPr>
        <w:t>selecci</w:t>
      </w:r>
      <w:r w:rsidR="00246FDA" w:rsidRPr="004108D4">
        <w:rPr>
          <w:rFonts w:ascii="Tahoma" w:hAnsi="Tahoma" w:cs="Tahoma"/>
          <w:bCs/>
        </w:rPr>
        <w:t>ó</w:t>
      </w:r>
      <w:r w:rsidRPr="004108D4">
        <w:rPr>
          <w:rFonts w:ascii="Tahoma" w:hAnsi="Tahoma" w:cs="Tahoma"/>
          <w:bCs/>
        </w:rPr>
        <w:t>n</w:t>
      </w:r>
      <w:r w:rsidR="00F36427" w:rsidRPr="004108D4">
        <w:rPr>
          <w:rFonts w:ascii="Tahoma" w:hAnsi="Tahoma" w:cs="Tahoma"/>
          <w:bCs/>
        </w:rPr>
        <w:t xml:space="preserve"> objetiva del contratista</w:t>
      </w:r>
      <w:r w:rsidRPr="004108D4">
        <w:rPr>
          <w:rFonts w:ascii="Tahoma" w:hAnsi="Tahoma" w:cs="Tahoma"/>
          <w:bCs/>
        </w:rPr>
        <w:t xml:space="preserve"> </w:t>
      </w:r>
      <w:r w:rsidR="003C4A4D" w:rsidRPr="004108D4">
        <w:rPr>
          <w:rFonts w:ascii="Tahoma" w:hAnsi="Tahoma" w:cs="Tahoma"/>
          <w:bCs/>
        </w:rPr>
        <w:t xml:space="preserve">se sugiere que </w:t>
      </w:r>
      <w:r w:rsidRPr="004108D4">
        <w:rPr>
          <w:rFonts w:ascii="Tahoma" w:hAnsi="Tahoma" w:cs="Tahoma"/>
          <w:bCs/>
        </w:rPr>
        <w:t xml:space="preserve">la entidad debe cumplir con lo establecido en el artículo </w:t>
      </w:r>
      <w:r w:rsidRPr="004108D4">
        <w:rPr>
          <w:rFonts w:ascii="Tahoma" w:hAnsi="Tahoma" w:cs="Tahoma"/>
          <w:bCs/>
        </w:rPr>
        <w:lastRenderedPageBreak/>
        <w:t xml:space="preserve">2.2.1.1.1.6.1 del Decreto 1082 de 2015 y en las </w:t>
      </w:r>
      <w:r w:rsidR="00246FDA" w:rsidRPr="004108D4">
        <w:rPr>
          <w:rFonts w:ascii="Tahoma" w:hAnsi="Tahoma" w:cs="Tahoma"/>
          <w:bCs/>
        </w:rPr>
        <w:t>G</w:t>
      </w:r>
      <w:r w:rsidRPr="004108D4">
        <w:rPr>
          <w:rFonts w:ascii="Tahoma" w:hAnsi="Tahoma" w:cs="Tahoma"/>
          <w:bCs/>
        </w:rPr>
        <w:t>uías de COLOMBIA COMPRA EFICIENTE para la elaboración de los mismos.</w:t>
      </w:r>
    </w:p>
    <w:p w:rsidR="001131D4" w:rsidRPr="005923FC" w:rsidRDefault="001131D4" w:rsidP="005923FC">
      <w:pPr>
        <w:pStyle w:val="Estilopredeterminado"/>
        <w:spacing w:after="0" w:line="240" w:lineRule="auto"/>
        <w:jc w:val="both"/>
        <w:rPr>
          <w:rFonts w:ascii="Tahoma" w:hAnsi="Tahoma" w:cs="Tahoma"/>
          <w:bCs/>
        </w:rPr>
      </w:pPr>
    </w:p>
    <w:p w:rsidR="001131D4" w:rsidRPr="005923FC" w:rsidRDefault="001131D4" w:rsidP="004108D4">
      <w:pPr>
        <w:pStyle w:val="Estilopredeterminado"/>
        <w:spacing w:after="0" w:line="240" w:lineRule="auto"/>
        <w:ind w:left="360"/>
        <w:jc w:val="both"/>
        <w:rPr>
          <w:rFonts w:ascii="Tahoma" w:hAnsi="Tahoma" w:cs="Tahoma"/>
          <w:bCs/>
        </w:rPr>
      </w:pPr>
      <w:r w:rsidRPr="005923FC">
        <w:rPr>
          <w:rFonts w:ascii="Tahoma" w:hAnsi="Tahoma" w:cs="Tahoma"/>
          <w:bCs/>
        </w:rPr>
        <w:t>Precisado lo anterior, llama la atención que en el punto 6.1 del Análisis del Sector</w:t>
      </w:r>
      <w:r w:rsidR="00246FDA" w:rsidRPr="005923FC">
        <w:rPr>
          <w:rFonts w:ascii="Tahoma" w:hAnsi="Tahoma" w:cs="Tahoma"/>
          <w:bCs/>
        </w:rPr>
        <w:t>,</w:t>
      </w:r>
      <w:r w:rsidRPr="005923FC">
        <w:rPr>
          <w:rFonts w:ascii="Tahoma" w:hAnsi="Tahoma" w:cs="Tahoma"/>
          <w:bCs/>
        </w:rPr>
        <w:t xml:space="preserve"> la entidad realiza comparaciones con contratos suscritos por ella misma en condiciones normales, en l</w:t>
      </w:r>
      <w:r w:rsidR="00246FDA" w:rsidRPr="005923FC">
        <w:rPr>
          <w:rFonts w:ascii="Tahoma" w:hAnsi="Tahoma" w:cs="Tahoma"/>
          <w:bCs/>
        </w:rPr>
        <w:t>os</w:t>
      </w:r>
      <w:r w:rsidRPr="005923FC">
        <w:rPr>
          <w:rFonts w:ascii="Tahoma" w:hAnsi="Tahoma" w:cs="Tahoma"/>
          <w:bCs/>
        </w:rPr>
        <w:t xml:space="preserve"> que los objetos contratados fu</w:t>
      </w:r>
      <w:r w:rsidR="00246FDA" w:rsidRPr="005923FC">
        <w:rPr>
          <w:rFonts w:ascii="Tahoma" w:hAnsi="Tahoma" w:cs="Tahoma"/>
          <w:bCs/>
        </w:rPr>
        <w:t>eron</w:t>
      </w:r>
      <w:r w:rsidRPr="005923FC">
        <w:rPr>
          <w:rFonts w:ascii="Tahoma" w:hAnsi="Tahoma" w:cs="Tahoma"/>
          <w:bCs/>
        </w:rPr>
        <w:t xml:space="preserve"> el suministro y distribuci</w:t>
      </w:r>
      <w:r w:rsidR="00246FDA" w:rsidRPr="005923FC">
        <w:rPr>
          <w:rFonts w:ascii="Tahoma" w:hAnsi="Tahoma" w:cs="Tahoma"/>
          <w:bCs/>
        </w:rPr>
        <w:t>ó</w:t>
      </w:r>
      <w:r w:rsidRPr="005923FC">
        <w:rPr>
          <w:rFonts w:ascii="Tahoma" w:hAnsi="Tahoma" w:cs="Tahoma"/>
          <w:bCs/>
        </w:rPr>
        <w:t>n de elementos de aseo personal, a diferencia del actual, donde se pretende contratar elementos de higiene y protecci</w:t>
      </w:r>
      <w:r w:rsidR="00246FDA" w:rsidRPr="005923FC">
        <w:rPr>
          <w:rFonts w:ascii="Tahoma" w:hAnsi="Tahoma" w:cs="Tahoma"/>
          <w:bCs/>
        </w:rPr>
        <w:t>ó</w:t>
      </w:r>
      <w:r w:rsidRPr="005923FC">
        <w:rPr>
          <w:rFonts w:ascii="Tahoma" w:hAnsi="Tahoma" w:cs="Tahoma"/>
          <w:bCs/>
        </w:rPr>
        <w:t>n sanitaria que cumplan especificaciones puntuales para evitar el contagio bidireccional del virus Covid</w:t>
      </w:r>
      <w:r w:rsidR="00246FDA" w:rsidRPr="005923FC">
        <w:rPr>
          <w:rFonts w:ascii="Tahoma" w:hAnsi="Tahoma" w:cs="Tahoma"/>
          <w:bCs/>
        </w:rPr>
        <w:t>-</w:t>
      </w:r>
      <w:r w:rsidRPr="005923FC">
        <w:rPr>
          <w:rFonts w:ascii="Tahoma" w:hAnsi="Tahoma" w:cs="Tahoma"/>
          <w:bCs/>
        </w:rPr>
        <w:t>19 de los funcionarios del SDIS que atienden los diferentes proyectos, por lo que para superar este an</w:t>
      </w:r>
      <w:r w:rsidR="00246FDA" w:rsidRPr="005923FC">
        <w:rPr>
          <w:rFonts w:ascii="Tahoma" w:hAnsi="Tahoma" w:cs="Tahoma"/>
          <w:bCs/>
        </w:rPr>
        <w:t>á</w:t>
      </w:r>
      <w:r w:rsidRPr="005923FC">
        <w:rPr>
          <w:rFonts w:ascii="Tahoma" w:hAnsi="Tahoma" w:cs="Tahoma"/>
          <w:bCs/>
        </w:rPr>
        <w:t xml:space="preserve">lisis comparativo </w:t>
      </w:r>
      <w:r w:rsidR="00246FDA" w:rsidRPr="005923FC">
        <w:rPr>
          <w:rFonts w:ascii="Tahoma" w:hAnsi="Tahoma" w:cs="Tahoma"/>
          <w:bCs/>
        </w:rPr>
        <w:t xml:space="preserve">objetivamente </w:t>
      </w:r>
      <w:r w:rsidRPr="005923FC">
        <w:rPr>
          <w:rFonts w:ascii="Tahoma" w:hAnsi="Tahoma" w:cs="Tahoma"/>
          <w:bCs/>
        </w:rPr>
        <w:t xml:space="preserve">debe acudirse a contratos sucritos por entidades que manejen este tipo de riesgos, como la </w:t>
      </w:r>
      <w:r w:rsidR="00246FDA" w:rsidRPr="005923FC">
        <w:rPr>
          <w:rFonts w:ascii="Tahoma" w:hAnsi="Tahoma" w:cs="Tahoma"/>
          <w:bCs/>
        </w:rPr>
        <w:t xml:space="preserve">Secretaría Distrital De Salud, el Ministerio de Salud y Protección Social, las ESE, etc., </w:t>
      </w:r>
      <w:r w:rsidRPr="005923FC">
        <w:rPr>
          <w:rFonts w:ascii="Tahoma" w:hAnsi="Tahoma" w:cs="Tahoma"/>
          <w:bCs/>
        </w:rPr>
        <w:t xml:space="preserve">para asi establecer las condiciones y parámetros que se deben tener en consideración. </w:t>
      </w:r>
    </w:p>
    <w:p w:rsidR="001131D4" w:rsidRPr="005923FC" w:rsidRDefault="001131D4" w:rsidP="004108D4">
      <w:pPr>
        <w:pStyle w:val="Estilopredeterminado"/>
        <w:spacing w:after="0" w:line="240" w:lineRule="auto"/>
        <w:ind w:left="360"/>
        <w:jc w:val="both"/>
        <w:rPr>
          <w:rFonts w:ascii="Tahoma" w:hAnsi="Tahoma" w:cs="Tahoma"/>
          <w:bCs/>
        </w:rPr>
      </w:pPr>
    </w:p>
    <w:p w:rsidR="001131D4" w:rsidRPr="005923FC" w:rsidRDefault="001131D4" w:rsidP="004108D4">
      <w:pPr>
        <w:pStyle w:val="Estilopredeterminado"/>
        <w:spacing w:after="0" w:line="240" w:lineRule="auto"/>
        <w:ind w:left="360"/>
        <w:jc w:val="both"/>
        <w:rPr>
          <w:rFonts w:ascii="Tahoma" w:hAnsi="Tahoma" w:cs="Tahoma"/>
          <w:bCs/>
        </w:rPr>
      </w:pPr>
      <w:r w:rsidRPr="005923FC">
        <w:rPr>
          <w:rFonts w:ascii="Tahoma" w:hAnsi="Tahoma" w:cs="Tahoma"/>
          <w:bCs/>
        </w:rPr>
        <w:t xml:space="preserve">En el </w:t>
      </w:r>
      <w:r w:rsidR="00246FDA" w:rsidRPr="005923FC">
        <w:rPr>
          <w:rFonts w:ascii="Tahoma" w:hAnsi="Tahoma" w:cs="Tahoma"/>
          <w:bCs/>
        </w:rPr>
        <w:t xml:space="preserve">Análisis del Sector </w:t>
      </w:r>
      <w:r w:rsidRPr="005923FC">
        <w:rPr>
          <w:rFonts w:ascii="Tahoma" w:hAnsi="Tahoma" w:cs="Tahoma"/>
          <w:bCs/>
        </w:rPr>
        <w:t>no se establece</w:t>
      </w:r>
      <w:r w:rsidR="00230286" w:rsidRPr="005923FC">
        <w:rPr>
          <w:rFonts w:ascii="Tahoma" w:hAnsi="Tahoma" w:cs="Tahoma"/>
          <w:bCs/>
        </w:rPr>
        <w:t>n</w:t>
      </w:r>
      <w:r w:rsidRPr="005923FC">
        <w:rPr>
          <w:rFonts w:ascii="Tahoma" w:hAnsi="Tahoma" w:cs="Tahoma"/>
          <w:bCs/>
        </w:rPr>
        <w:t xml:space="preserve"> las ventajas o fortalezas que representa para la Entidad contratar el bien o servicio con los contratistas con los que se pretende suscribir el contrato. </w:t>
      </w:r>
    </w:p>
    <w:p w:rsidR="001131D4" w:rsidRPr="005923FC" w:rsidRDefault="001131D4" w:rsidP="004108D4">
      <w:pPr>
        <w:pStyle w:val="Estilopredeterminado"/>
        <w:spacing w:after="0" w:line="240" w:lineRule="auto"/>
        <w:ind w:left="360"/>
        <w:jc w:val="both"/>
        <w:rPr>
          <w:rFonts w:ascii="Tahoma" w:hAnsi="Tahoma" w:cs="Tahoma"/>
          <w:bCs/>
        </w:rPr>
      </w:pPr>
    </w:p>
    <w:p w:rsidR="001131D4" w:rsidRPr="005923FC" w:rsidRDefault="001131D4" w:rsidP="004108D4">
      <w:pPr>
        <w:pStyle w:val="Estilopredeterminado"/>
        <w:spacing w:after="0" w:line="240" w:lineRule="auto"/>
        <w:ind w:left="360"/>
        <w:jc w:val="both"/>
        <w:rPr>
          <w:rFonts w:ascii="Tahoma" w:hAnsi="Tahoma" w:cs="Tahoma"/>
          <w:bCs/>
        </w:rPr>
      </w:pPr>
      <w:r w:rsidRPr="005923FC">
        <w:rPr>
          <w:rFonts w:ascii="Tahoma" w:hAnsi="Tahoma" w:cs="Tahoma"/>
          <w:bCs/>
        </w:rPr>
        <w:t xml:space="preserve">Ahora bien, frente a la perspectiva comercial de los posibles contratistas, se debe analizar quiénes pueden ofrecer el bien o servicio que se quiere contratar, cuáles son sus condiciones, si tienen condiciones especiales que sean relevantes a la hora de determinar los requisitos de experiencia, capacidad finaciera, entre otros. En los documentos remitidos  solo se hace mención a las cotizaciones que se realizaron, pero no se realiza una comparación o estudio de las condiciones que tienen los contratistas escogidos, en pro de asegurar satisfacer la necesidad de la entidad. </w:t>
      </w:r>
    </w:p>
    <w:p w:rsidR="001131D4" w:rsidRPr="005923FC" w:rsidRDefault="001131D4" w:rsidP="004108D4">
      <w:pPr>
        <w:pStyle w:val="Estilopredeterminado"/>
        <w:spacing w:after="0" w:line="240" w:lineRule="auto"/>
        <w:ind w:left="360"/>
        <w:jc w:val="both"/>
        <w:rPr>
          <w:rFonts w:ascii="Tahoma" w:hAnsi="Tahoma" w:cs="Tahoma"/>
          <w:bCs/>
        </w:rPr>
      </w:pPr>
      <w:r w:rsidRPr="005923FC">
        <w:rPr>
          <w:rFonts w:ascii="Tahoma" w:hAnsi="Tahoma" w:cs="Tahoma"/>
          <w:bCs/>
        </w:rPr>
        <w:t xml:space="preserve"> </w:t>
      </w:r>
    </w:p>
    <w:p w:rsidR="001131D4" w:rsidRPr="005923FC" w:rsidRDefault="001131D4" w:rsidP="004108D4">
      <w:pPr>
        <w:pStyle w:val="Estilopredeterminado"/>
        <w:spacing w:after="0" w:line="240" w:lineRule="auto"/>
        <w:ind w:left="360"/>
        <w:jc w:val="both"/>
        <w:rPr>
          <w:rFonts w:ascii="Tahoma" w:hAnsi="Tahoma" w:cs="Tahoma"/>
          <w:bCs/>
        </w:rPr>
      </w:pPr>
      <w:r w:rsidRPr="005923FC">
        <w:rPr>
          <w:rFonts w:ascii="Tahoma" w:hAnsi="Tahoma" w:cs="Tahoma"/>
          <w:bCs/>
        </w:rPr>
        <w:t>En el punto 6.2 se hace mención la experiencia de los proponentes, donde se plasma un recuento de la empresa y no un requisito puntual que deban cumplir los oferentes, por lo que se sugiere precisar la experiencia que cumplen los contratistas.</w:t>
      </w:r>
    </w:p>
    <w:p w:rsidR="001131D4" w:rsidRPr="005923FC" w:rsidRDefault="001131D4" w:rsidP="004108D4">
      <w:pPr>
        <w:pStyle w:val="Estilopredeterminado"/>
        <w:spacing w:after="0" w:line="240" w:lineRule="auto"/>
        <w:ind w:left="360"/>
        <w:jc w:val="both"/>
        <w:rPr>
          <w:rFonts w:ascii="Tahoma" w:hAnsi="Tahoma" w:cs="Tahoma"/>
          <w:bCs/>
        </w:rPr>
      </w:pPr>
    </w:p>
    <w:p w:rsidR="001131D4" w:rsidRPr="005923FC" w:rsidRDefault="001131D4" w:rsidP="004108D4">
      <w:pPr>
        <w:pStyle w:val="Estilopredeterminado"/>
        <w:spacing w:after="0" w:line="240" w:lineRule="auto"/>
        <w:ind w:left="360"/>
        <w:jc w:val="both"/>
        <w:rPr>
          <w:rFonts w:ascii="Tahoma" w:hAnsi="Tahoma" w:cs="Tahoma"/>
          <w:bCs/>
        </w:rPr>
      </w:pPr>
      <w:r w:rsidRPr="005923FC">
        <w:rPr>
          <w:rFonts w:ascii="Tahoma" w:hAnsi="Tahoma" w:cs="Tahoma"/>
          <w:bCs/>
        </w:rPr>
        <w:t>Igualmente</w:t>
      </w:r>
      <w:r w:rsidR="000A75AD" w:rsidRPr="005923FC">
        <w:rPr>
          <w:rFonts w:ascii="Tahoma" w:hAnsi="Tahoma" w:cs="Tahoma"/>
          <w:bCs/>
        </w:rPr>
        <w:t>,</w:t>
      </w:r>
      <w:r w:rsidRPr="005923FC">
        <w:rPr>
          <w:rFonts w:ascii="Tahoma" w:hAnsi="Tahoma" w:cs="Tahoma"/>
          <w:bCs/>
        </w:rPr>
        <w:t xml:space="preserve"> se sugiere establecer en el Análisis del </w:t>
      </w:r>
      <w:r w:rsidR="00E860A6" w:rsidRPr="005923FC">
        <w:rPr>
          <w:rFonts w:ascii="Tahoma" w:hAnsi="Tahoma" w:cs="Tahoma"/>
          <w:bCs/>
        </w:rPr>
        <w:t xml:space="preserve">Sector </w:t>
      </w:r>
      <w:r w:rsidRPr="005923FC">
        <w:rPr>
          <w:rFonts w:ascii="Tahoma" w:hAnsi="Tahoma" w:cs="Tahoma"/>
          <w:bCs/>
        </w:rPr>
        <w:t>y en los documentos previos, c</w:t>
      </w:r>
      <w:r w:rsidR="00E860A6" w:rsidRPr="005923FC">
        <w:rPr>
          <w:rFonts w:ascii="Tahoma" w:hAnsi="Tahoma" w:cs="Tahoma"/>
          <w:bCs/>
        </w:rPr>
        <w:t>ó</w:t>
      </w:r>
      <w:r w:rsidRPr="005923FC">
        <w:rPr>
          <w:rFonts w:ascii="Tahoma" w:hAnsi="Tahoma" w:cs="Tahoma"/>
          <w:bCs/>
        </w:rPr>
        <w:t>mo se determinó el presupuesto del proceso, ya que en los documentos remitidos no se evidencia la forma en que se estableció el mismo, las variables y comparaciones con las cuales se llegó a la conclusión que este valor es el que se necesita para la compra de los elementos; lo anterior  con el fin de que no existan sobrecostos que se pueden evidenciar una vez firmado el contrato.</w:t>
      </w:r>
    </w:p>
    <w:p w:rsidR="001131D4" w:rsidRPr="005923FC" w:rsidRDefault="001131D4" w:rsidP="004108D4">
      <w:pPr>
        <w:ind w:left="360"/>
        <w:jc w:val="both"/>
        <w:rPr>
          <w:rFonts w:ascii="Tahoma" w:hAnsi="Tahoma" w:cs="Tahoma"/>
          <w:sz w:val="22"/>
          <w:szCs w:val="22"/>
          <w:lang w:val="es-ES"/>
        </w:rPr>
      </w:pPr>
    </w:p>
    <w:p w:rsidR="00C43EEF" w:rsidRPr="005923FC" w:rsidRDefault="00C43EEF" w:rsidP="004108D4">
      <w:pPr>
        <w:pStyle w:val="Estilopredeterminado"/>
        <w:spacing w:after="0" w:line="240" w:lineRule="auto"/>
        <w:ind w:left="360"/>
        <w:jc w:val="both"/>
        <w:rPr>
          <w:rFonts w:ascii="Tahoma" w:hAnsi="Tahoma" w:cs="Tahoma"/>
          <w:bCs/>
        </w:rPr>
      </w:pPr>
      <w:r w:rsidRPr="005923FC">
        <w:rPr>
          <w:rFonts w:ascii="Tahoma" w:hAnsi="Tahoma" w:cs="Tahoma"/>
          <w:bCs/>
        </w:rPr>
        <w:t>Por otro lado, se sugiere hacer referencia si la entidad consultó los Acuerdos Marco de Precios de la Tienda Virtual del Estado Colombiano y cuál fue el resultado de esta consulta.</w:t>
      </w:r>
    </w:p>
    <w:p w:rsidR="00C43EEF" w:rsidRDefault="00C43EEF" w:rsidP="005923FC">
      <w:pPr>
        <w:jc w:val="both"/>
        <w:rPr>
          <w:rFonts w:ascii="Tahoma" w:hAnsi="Tahoma" w:cs="Tahoma"/>
          <w:sz w:val="22"/>
          <w:szCs w:val="22"/>
          <w:lang w:val="es-ES"/>
        </w:rPr>
      </w:pPr>
    </w:p>
    <w:p w:rsidR="004108D4" w:rsidRPr="004108D4" w:rsidRDefault="004108D4" w:rsidP="005923FC">
      <w:pPr>
        <w:jc w:val="both"/>
        <w:rPr>
          <w:rFonts w:ascii="Tahoma" w:hAnsi="Tahoma" w:cs="Tahoma"/>
          <w:color w:val="4472C4" w:themeColor="accent1"/>
          <w:sz w:val="22"/>
          <w:szCs w:val="22"/>
          <w:lang w:val="es-ES"/>
        </w:rPr>
      </w:pPr>
      <w:r w:rsidRPr="004108D4">
        <w:rPr>
          <w:rFonts w:ascii="Tahoma" w:hAnsi="Tahoma" w:cs="Tahoma"/>
          <w:color w:val="4472C4" w:themeColor="accent1"/>
          <w:sz w:val="22"/>
          <w:szCs w:val="22"/>
          <w:lang w:val="es-ES"/>
        </w:rPr>
        <w:t xml:space="preserve">PAULA, GONZALO Y LUZ MIRIAM </w:t>
      </w:r>
    </w:p>
    <w:p w:rsidR="004108D4" w:rsidRPr="005923FC" w:rsidRDefault="004108D4" w:rsidP="005923FC">
      <w:pPr>
        <w:jc w:val="both"/>
        <w:rPr>
          <w:rFonts w:ascii="Tahoma" w:hAnsi="Tahoma" w:cs="Tahoma"/>
          <w:sz w:val="22"/>
          <w:szCs w:val="22"/>
          <w:lang w:val="es-ES"/>
        </w:rPr>
      </w:pPr>
    </w:p>
    <w:p w:rsidR="002B0F11" w:rsidRPr="004108D4" w:rsidRDefault="002B0F11" w:rsidP="004108D4">
      <w:pPr>
        <w:pStyle w:val="Prrafodelista"/>
        <w:numPr>
          <w:ilvl w:val="0"/>
          <w:numId w:val="3"/>
        </w:numPr>
        <w:jc w:val="both"/>
        <w:rPr>
          <w:rFonts w:ascii="Tahoma" w:hAnsi="Tahoma" w:cs="Tahoma"/>
          <w:lang w:val="es-ES"/>
        </w:rPr>
      </w:pPr>
      <w:r w:rsidRPr="004108D4">
        <w:rPr>
          <w:rFonts w:ascii="Tahoma" w:hAnsi="Tahoma" w:cs="Tahoma"/>
          <w:lang w:val="es-ES"/>
        </w:rPr>
        <w:t xml:space="preserve">No se incluyeron en los estudios previos el número y valor de los </w:t>
      </w:r>
      <w:proofErr w:type="spellStart"/>
      <w:r w:rsidRPr="004108D4">
        <w:rPr>
          <w:rFonts w:ascii="Tahoma" w:hAnsi="Tahoma" w:cs="Tahoma"/>
          <w:lang w:val="es-ES"/>
        </w:rPr>
        <w:t>CDPs</w:t>
      </w:r>
      <w:proofErr w:type="spellEnd"/>
      <w:r w:rsidRPr="004108D4">
        <w:rPr>
          <w:rFonts w:ascii="Tahoma" w:hAnsi="Tahoma" w:cs="Tahoma"/>
          <w:lang w:val="es-ES"/>
        </w:rPr>
        <w:t xml:space="preserve"> correspondientes a los proyectos 1099, 1108 y 1090. </w:t>
      </w:r>
    </w:p>
    <w:p w:rsidR="004B589E" w:rsidRPr="005923FC" w:rsidRDefault="004B589E" w:rsidP="005923FC">
      <w:pPr>
        <w:jc w:val="both"/>
        <w:rPr>
          <w:rFonts w:ascii="Tahoma" w:hAnsi="Tahoma" w:cs="Tahoma"/>
          <w:sz w:val="22"/>
          <w:szCs w:val="22"/>
          <w:lang w:val="es-ES"/>
        </w:rPr>
      </w:pPr>
    </w:p>
    <w:p w:rsidR="00E6335B" w:rsidRPr="005923FC" w:rsidRDefault="00E6335B" w:rsidP="004108D4">
      <w:pPr>
        <w:pStyle w:val="Default"/>
        <w:ind w:left="360"/>
        <w:jc w:val="both"/>
        <w:rPr>
          <w:rFonts w:ascii="Tahoma" w:hAnsi="Tahoma" w:cs="Tahoma"/>
          <w:bCs/>
          <w:spacing w:val="-3"/>
          <w:sz w:val="22"/>
          <w:szCs w:val="22"/>
        </w:rPr>
      </w:pPr>
      <w:r w:rsidRPr="005923FC">
        <w:rPr>
          <w:rFonts w:ascii="Tahoma" w:hAnsi="Tahoma" w:cs="Tahoma"/>
          <w:bCs/>
          <w:spacing w:val="-3"/>
          <w:sz w:val="22"/>
          <w:szCs w:val="22"/>
        </w:rPr>
        <w:lastRenderedPageBreak/>
        <w:t xml:space="preserve">El valor de los CDP presentados no alcanza para completar el monto del contrato. Faltando así los CDP de los proyectos de inversión 1099 Envejecimiento, 1180 Habitabilidad en Calle y 1098 Bogotá Te Nutre. A continuación </w:t>
      </w:r>
    </w:p>
    <w:p w:rsidR="00E6335B" w:rsidRPr="005923FC" w:rsidRDefault="00E6335B" w:rsidP="005923FC">
      <w:pPr>
        <w:pStyle w:val="Default"/>
        <w:rPr>
          <w:rFonts w:ascii="Tahoma" w:hAnsi="Tahoma" w:cs="Tahoma"/>
          <w:bCs/>
          <w:spacing w:val="-3"/>
          <w:sz w:val="22"/>
          <w:szCs w:val="22"/>
        </w:rPr>
      </w:pPr>
    </w:p>
    <w:tbl>
      <w:tblPr>
        <w:tblW w:w="9440" w:type="dxa"/>
        <w:tblCellMar>
          <w:left w:w="70" w:type="dxa"/>
          <w:right w:w="70" w:type="dxa"/>
        </w:tblCellMar>
        <w:tblLook w:val="04A0" w:firstRow="1" w:lastRow="0" w:firstColumn="1" w:lastColumn="0" w:noHBand="0" w:noVBand="1"/>
      </w:tblPr>
      <w:tblGrid>
        <w:gridCol w:w="741"/>
        <w:gridCol w:w="6560"/>
        <w:gridCol w:w="2180"/>
      </w:tblGrid>
      <w:tr w:rsidR="00E6335B" w:rsidRPr="005923FC" w:rsidTr="001607F4">
        <w:trPr>
          <w:trHeight w:val="330"/>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335B" w:rsidRPr="005923FC" w:rsidRDefault="00E6335B" w:rsidP="005923FC">
            <w:pPr>
              <w:jc w:val="center"/>
              <w:rPr>
                <w:rFonts w:ascii="Tahoma" w:eastAsia="Times New Roman" w:hAnsi="Tahoma" w:cs="Tahoma"/>
                <w:i/>
                <w:iCs/>
                <w:color w:val="000000"/>
                <w:sz w:val="22"/>
                <w:szCs w:val="22"/>
                <w:lang w:eastAsia="es-CO"/>
              </w:rPr>
            </w:pPr>
            <w:r w:rsidRPr="005923FC">
              <w:rPr>
                <w:rFonts w:ascii="Tahoma" w:hAnsi="Tahoma" w:cs="Tahoma"/>
                <w:i/>
                <w:iCs/>
                <w:spacing w:val="-3"/>
                <w:sz w:val="22"/>
                <w:szCs w:val="22"/>
              </w:rPr>
              <w:t xml:space="preserve"> </w:t>
            </w:r>
            <w:r w:rsidRPr="005923FC">
              <w:rPr>
                <w:rFonts w:ascii="Tahoma" w:eastAsia="Times New Roman" w:hAnsi="Tahoma" w:cs="Tahoma"/>
                <w:i/>
                <w:iCs/>
                <w:color w:val="000000"/>
                <w:sz w:val="22"/>
                <w:szCs w:val="22"/>
                <w:lang w:eastAsia="es-CO"/>
              </w:rPr>
              <w:t>CDP</w:t>
            </w:r>
          </w:p>
        </w:tc>
        <w:tc>
          <w:tcPr>
            <w:tcW w:w="6560" w:type="dxa"/>
            <w:tcBorders>
              <w:top w:val="single" w:sz="8" w:space="0" w:color="auto"/>
              <w:left w:val="nil"/>
              <w:bottom w:val="single" w:sz="8" w:space="0" w:color="auto"/>
              <w:right w:val="single" w:sz="4" w:space="0" w:color="auto"/>
            </w:tcBorders>
            <w:shd w:val="clear" w:color="auto" w:fill="auto"/>
            <w:noWrap/>
            <w:vAlign w:val="bottom"/>
            <w:hideMark/>
          </w:tcPr>
          <w:p w:rsidR="00E6335B" w:rsidRPr="005923FC" w:rsidRDefault="00E6335B" w:rsidP="005923FC">
            <w:pPr>
              <w:jc w:val="center"/>
              <w:rPr>
                <w:rFonts w:ascii="Tahoma" w:eastAsia="Times New Roman" w:hAnsi="Tahoma" w:cs="Tahoma"/>
                <w:i/>
                <w:iCs/>
                <w:color w:val="000000"/>
                <w:sz w:val="22"/>
                <w:szCs w:val="22"/>
                <w:lang w:eastAsia="es-CO"/>
              </w:rPr>
            </w:pPr>
            <w:r w:rsidRPr="005923FC">
              <w:rPr>
                <w:rFonts w:ascii="Tahoma" w:eastAsia="Times New Roman" w:hAnsi="Tahoma" w:cs="Tahoma"/>
                <w:i/>
                <w:iCs/>
                <w:color w:val="000000"/>
                <w:sz w:val="22"/>
                <w:szCs w:val="22"/>
                <w:lang w:eastAsia="es-CO"/>
              </w:rPr>
              <w:t>Concepto</w:t>
            </w:r>
          </w:p>
        </w:tc>
        <w:tc>
          <w:tcPr>
            <w:tcW w:w="2180" w:type="dxa"/>
            <w:tcBorders>
              <w:top w:val="single" w:sz="8" w:space="0" w:color="auto"/>
              <w:left w:val="nil"/>
              <w:bottom w:val="single" w:sz="8" w:space="0" w:color="auto"/>
              <w:right w:val="single" w:sz="8" w:space="0" w:color="auto"/>
            </w:tcBorders>
            <w:shd w:val="clear" w:color="auto" w:fill="auto"/>
            <w:noWrap/>
            <w:vAlign w:val="bottom"/>
            <w:hideMark/>
          </w:tcPr>
          <w:p w:rsidR="00E6335B" w:rsidRPr="005923FC" w:rsidRDefault="00E6335B" w:rsidP="005923FC">
            <w:pPr>
              <w:jc w:val="center"/>
              <w:rPr>
                <w:rFonts w:ascii="Tahoma" w:eastAsia="Times New Roman" w:hAnsi="Tahoma" w:cs="Tahoma"/>
                <w:i/>
                <w:iCs/>
                <w:color w:val="000000"/>
                <w:sz w:val="22"/>
                <w:szCs w:val="22"/>
                <w:lang w:eastAsia="es-CO"/>
              </w:rPr>
            </w:pPr>
            <w:r w:rsidRPr="005923FC">
              <w:rPr>
                <w:rFonts w:ascii="Tahoma" w:eastAsia="Times New Roman" w:hAnsi="Tahoma" w:cs="Tahoma"/>
                <w:i/>
                <w:iCs/>
                <w:color w:val="000000"/>
                <w:sz w:val="22"/>
                <w:szCs w:val="22"/>
                <w:lang w:eastAsia="es-CO"/>
              </w:rPr>
              <w:t>Valor $</w:t>
            </w:r>
          </w:p>
        </w:tc>
      </w:tr>
      <w:tr w:rsidR="00E6335B" w:rsidRPr="005923FC" w:rsidTr="001607F4">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E6335B" w:rsidRPr="005923FC" w:rsidRDefault="00E6335B" w:rsidP="005923FC">
            <w:pPr>
              <w:jc w:val="center"/>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10609</w:t>
            </w:r>
          </w:p>
        </w:tc>
        <w:tc>
          <w:tcPr>
            <w:tcW w:w="6560" w:type="dxa"/>
            <w:tcBorders>
              <w:top w:val="nil"/>
              <w:left w:val="nil"/>
              <w:bottom w:val="single" w:sz="4" w:space="0" w:color="auto"/>
              <w:right w:val="single" w:sz="4" w:space="0" w:color="auto"/>
            </w:tcBorders>
            <w:shd w:val="clear" w:color="auto" w:fill="auto"/>
            <w:noWrap/>
            <w:vAlign w:val="bottom"/>
            <w:hideMark/>
          </w:tcPr>
          <w:p w:rsidR="00E6335B" w:rsidRPr="005923FC" w:rsidRDefault="00E6335B" w:rsidP="005923FC">
            <w:pPr>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102 - Desarrollo integral desde la gestación hasta la adolescencia</w:t>
            </w:r>
          </w:p>
        </w:tc>
        <w:tc>
          <w:tcPr>
            <w:tcW w:w="2180" w:type="dxa"/>
            <w:tcBorders>
              <w:top w:val="nil"/>
              <w:left w:val="nil"/>
              <w:bottom w:val="single" w:sz="4" w:space="0" w:color="auto"/>
              <w:right w:val="single" w:sz="8" w:space="0" w:color="auto"/>
            </w:tcBorders>
            <w:shd w:val="clear" w:color="auto" w:fill="auto"/>
            <w:noWrap/>
            <w:vAlign w:val="bottom"/>
            <w:hideMark/>
          </w:tcPr>
          <w:p w:rsidR="00E6335B" w:rsidRPr="005923FC" w:rsidRDefault="00E6335B" w:rsidP="005923FC">
            <w:pPr>
              <w:jc w:val="right"/>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$ 164.485.155,00</w:t>
            </w:r>
          </w:p>
        </w:tc>
      </w:tr>
      <w:tr w:rsidR="00E6335B" w:rsidRPr="005923FC" w:rsidTr="001607F4">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E6335B" w:rsidRPr="005923FC" w:rsidRDefault="00E6335B" w:rsidP="005923FC">
            <w:pPr>
              <w:jc w:val="center"/>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10615</w:t>
            </w:r>
          </w:p>
        </w:tc>
        <w:tc>
          <w:tcPr>
            <w:tcW w:w="6560" w:type="dxa"/>
            <w:tcBorders>
              <w:top w:val="nil"/>
              <w:left w:val="nil"/>
              <w:bottom w:val="single" w:sz="4" w:space="0" w:color="auto"/>
              <w:right w:val="single" w:sz="4" w:space="0" w:color="auto"/>
            </w:tcBorders>
            <w:shd w:val="clear" w:color="auto" w:fill="auto"/>
            <w:noWrap/>
            <w:vAlign w:val="bottom"/>
            <w:hideMark/>
          </w:tcPr>
          <w:p w:rsidR="00E6335B" w:rsidRPr="005923FC" w:rsidRDefault="00E6335B" w:rsidP="005923FC">
            <w:pPr>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105 - Distrito diverso</w:t>
            </w:r>
          </w:p>
        </w:tc>
        <w:tc>
          <w:tcPr>
            <w:tcW w:w="2180" w:type="dxa"/>
            <w:tcBorders>
              <w:top w:val="nil"/>
              <w:left w:val="nil"/>
              <w:bottom w:val="single" w:sz="4" w:space="0" w:color="auto"/>
              <w:right w:val="single" w:sz="8" w:space="0" w:color="auto"/>
            </w:tcBorders>
            <w:shd w:val="clear" w:color="auto" w:fill="auto"/>
            <w:noWrap/>
            <w:vAlign w:val="bottom"/>
            <w:hideMark/>
          </w:tcPr>
          <w:p w:rsidR="00E6335B" w:rsidRPr="005923FC" w:rsidRDefault="00E6335B" w:rsidP="005923FC">
            <w:pPr>
              <w:jc w:val="right"/>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$ 24.000.000,00</w:t>
            </w:r>
          </w:p>
        </w:tc>
      </w:tr>
      <w:tr w:rsidR="00E6335B" w:rsidRPr="005923FC" w:rsidTr="001607F4">
        <w:trPr>
          <w:trHeight w:val="315"/>
        </w:trPr>
        <w:tc>
          <w:tcPr>
            <w:tcW w:w="700" w:type="dxa"/>
            <w:tcBorders>
              <w:top w:val="nil"/>
              <w:left w:val="single" w:sz="8" w:space="0" w:color="auto"/>
              <w:bottom w:val="single" w:sz="4" w:space="0" w:color="auto"/>
              <w:right w:val="single" w:sz="4" w:space="0" w:color="auto"/>
            </w:tcBorders>
            <w:shd w:val="clear" w:color="auto" w:fill="auto"/>
            <w:noWrap/>
            <w:vAlign w:val="bottom"/>
            <w:hideMark/>
          </w:tcPr>
          <w:p w:rsidR="00E6335B" w:rsidRPr="005923FC" w:rsidRDefault="00E6335B" w:rsidP="005923FC">
            <w:pPr>
              <w:jc w:val="center"/>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10685</w:t>
            </w:r>
          </w:p>
        </w:tc>
        <w:tc>
          <w:tcPr>
            <w:tcW w:w="6560" w:type="dxa"/>
            <w:tcBorders>
              <w:top w:val="nil"/>
              <w:left w:val="nil"/>
              <w:bottom w:val="single" w:sz="4" w:space="0" w:color="auto"/>
              <w:right w:val="single" w:sz="4" w:space="0" w:color="auto"/>
            </w:tcBorders>
            <w:shd w:val="clear" w:color="auto" w:fill="auto"/>
            <w:noWrap/>
            <w:vAlign w:val="bottom"/>
            <w:hideMark/>
          </w:tcPr>
          <w:p w:rsidR="00E6335B" w:rsidRPr="005923FC" w:rsidRDefault="00E6335B" w:rsidP="005923FC">
            <w:pPr>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109 - Una ciudad para las familias</w:t>
            </w:r>
          </w:p>
        </w:tc>
        <w:tc>
          <w:tcPr>
            <w:tcW w:w="2180" w:type="dxa"/>
            <w:tcBorders>
              <w:top w:val="nil"/>
              <w:left w:val="nil"/>
              <w:bottom w:val="single" w:sz="4" w:space="0" w:color="auto"/>
              <w:right w:val="single" w:sz="8" w:space="0" w:color="auto"/>
            </w:tcBorders>
            <w:shd w:val="clear" w:color="auto" w:fill="auto"/>
            <w:noWrap/>
            <w:vAlign w:val="bottom"/>
            <w:hideMark/>
          </w:tcPr>
          <w:p w:rsidR="00E6335B" w:rsidRPr="005923FC" w:rsidRDefault="00E6335B" w:rsidP="005923FC">
            <w:pPr>
              <w:jc w:val="right"/>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$ 186.075.922,00</w:t>
            </w:r>
          </w:p>
        </w:tc>
      </w:tr>
      <w:tr w:rsidR="00E6335B" w:rsidRPr="005923FC" w:rsidTr="001607F4">
        <w:trPr>
          <w:trHeight w:val="330"/>
        </w:trPr>
        <w:tc>
          <w:tcPr>
            <w:tcW w:w="700" w:type="dxa"/>
            <w:tcBorders>
              <w:top w:val="nil"/>
              <w:left w:val="single" w:sz="8" w:space="0" w:color="auto"/>
              <w:bottom w:val="single" w:sz="8" w:space="0" w:color="auto"/>
              <w:right w:val="single" w:sz="4" w:space="0" w:color="auto"/>
            </w:tcBorders>
            <w:shd w:val="clear" w:color="auto" w:fill="auto"/>
            <w:noWrap/>
            <w:vAlign w:val="bottom"/>
            <w:hideMark/>
          </w:tcPr>
          <w:p w:rsidR="00E6335B" w:rsidRPr="005923FC" w:rsidRDefault="00E6335B" w:rsidP="005923FC">
            <w:pPr>
              <w:jc w:val="center"/>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10691</w:t>
            </w:r>
          </w:p>
        </w:tc>
        <w:tc>
          <w:tcPr>
            <w:tcW w:w="6560" w:type="dxa"/>
            <w:tcBorders>
              <w:top w:val="nil"/>
              <w:left w:val="nil"/>
              <w:bottom w:val="single" w:sz="8" w:space="0" w:color="auto"/>
              <w:right w:val="single" w:sz="4" w:space="0" w:color="auto"/>
            </w:tcBorders>
            <w:shd w:val="clear" w:color="auto" w:fill="auto"/>
            <w:noWrap/>
            <w:vAlign w:val="bottom"/>
            <w:hideMark/>
          </w:tcPr>
          <w:p w:rsidR="00E6335B" w:rsidRPr="005923FC" w:rsidRDefault="00E6335B" w:rsidP="005923FC">
            <w:pPr>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107 - Por una ciudad incluyente y sin barreras</w:t>
            </w:r>
          </w:p>
        </w:tc>
        <w:tc>
          <w:tcPr>
            <w:tcW w:w="2180" w:type="dxa"/>
            <w:tcBorders>
              <w:top w:val="nil"/>
              <w:left w:val="nil"/>
              <w:bottom w:val="single" w:sz="8" w:space="0" w:color="auto"/>
              <w:right w:val="single" w:sz="8" w:space="0" w:color="auto"/>
            </w:tcBorders>
            <w:shd w:val="clear" w:color="auto" w:fill="auto"/>
            <w:noWrap/>
            <w:vAlign w:val="bottom"/>
            <w:hideMark/>
          </w:tcPr>
          <w:p w:rsidR="00E6335B" w:rsidRPr="005923FC" w:rsidRDefault="00E6335B" w:rsidP="005923FC">
            <w:pPr>
              <w:jc w:val="right"/>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$ 242.915.505,00</w:t>
            </w:r>
          </w:p>
        </w:tc>
      </w:tr>
      <w:tr w:rsidR="00E6335B" w:rsidRPr="005923FC" w:rsidTr="001607F4">
        <w:trPr>
          <w:trHeight w:val="315"/>
        </w:trPr>
        <w:tc>
          <w:tcPr>
            <w:tcW w:w="7260" w:type="dxa"/>
            <w:gridSpan w:val="2"/>
            <w:tcBorders>
              <w:top w:val="nil"/>
              <w:left w:val="single" w:sz="8" w:space="0" w:color="auto"/>
              <w:bottom w:val="single" w:sz="4" w:space="0" w:color="auto"/>
              <w:right w:val="single" w:sz="4" w:space="0" w:color="auto"/>
            </w:tcBorders>
            <w:shd w:val="clear" w:color="auto" w:fill="auto"/>
            <w:noWrap/>
            <w:vAlign w:val="bottom"/>
            <w:hideMark/>
          </w:tcPr>
          <w:p w:rsidR="00E6335B" w:rsidRPr="005923FC" w:rsidRDefault="00E6335B" w:rsidP="005923FC">
            <w:pPr>
              <w:jc w:val="center"/>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Valor Total Certificados de Disponibilidad Presupuestal</w:t>
            </w:r>
          </w:p>
        </w:tc>
        <w:tc>
          <w:tcPr>
            <w:tcW w:w="2180" w:type="dxa"/>
            <w:tcBorders>
              <w:top w:val="nil"/>
              <w:left w:val="nil"/>
              <w:bottom w:val="single" w:sz="4" w:space="0" w:color="auto"/>
              <w:right w:val="single" w:sz="8" w:space="0" w:color="auto"/>
            </w:tcBorders>
            <w:shd w:val="clear" w:color="auto" w:fill="auto"/>
            <w:noWrap/>
            <w:vAlign w:val="bottom"/>
            <w:hideMark/>
          </w:tcPr>
          <w:p w:rsidR="00E6335B" w:rsidRPr="005923FC" w:rsidRDefault="00E6335B" w:rsidP="005923FC">
            <w:pPr>
              <w:jc w:val="right"/>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$ 617.476.582,00</w:t>
            </w:r>
          </w:p>
        </w:tc>
      </w:tr>
      <w:tr w:rsidR="00E6335B" w:rsidRPr="005923FC" w:rsidTr="001607F4">
        <w:trPr>
          <w:trHeight w:val="315"/>
        </w:trPr>
        <w:tc>
          <w:tcPr>
            <w:tcW w:w="72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335B" w:rsidRPr="005923FC" w:rsidRDefault="00E6335B" w:rsidP="005923FC">
            <w:pPr>
              <w:jc w:val="center"/>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Subtotal Contratación Parcial Proyectada</w:t>
            </w:r>
          </w:p>
        </w:tc>
        <w:tc>
          <w:tcPr>
            <w:tcW w:w="2180" w:type="dxa"/>
            <w:tcBorders>
              <w:top w:val="nil"/>
              <w:left w:val="nil"/>
              <w:bottom w:val="single" w:sz="4" w:space="0" w:color="auto"/>
              <w:right w:val="single" w:sz="8" w:space="0" w:color="auto"/>
            </w:tcBorders>
            <w:shd w:val="clear" w:color="auto" w:fill="auto"/>
            <w:noWrap/>
            <w:vAlign w:val="bottom"/>
            <w:hideMark/>
          </w:tcPr>
          <w:p w:rsidR="00E6335B" w:rsidRPr="005923FC" w:rsidRDefault="00E6335B" w:rsidP="005923FC">
            <w:pPr>
              <w:jc w:val="right"/>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$ 1.177.628.557,00</w:t>
            </w:r>
          </w:p>
        </w:tc>
      </w:tr>
      <w:tr w:rsidR="00E6335B" w:rsidRPr="005923FC" w:rsidTr="001607F4">
        <w:trPr>
          <w:trHeight w:val="330"/>
        </w:trPr>
        <w:tc>
          <w:tcPr>
            <w:tcW w:w="726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6335B" w:rsidRPr="005923FC" w:rsidRDefault="00E6335B" w:rsidP="005923FC">
            <w:pPr>
              <w:jc w:val="center"/>
              <w:rPr>
                <w:rFonts w:ascii="Tahoma" w:eastAsia="Times New Roman" w:hAnsi="Tahoma" w:cs="Tahoma"/>
                <w:color w:val="000000"/>
                <w:sz w:val="22"/>
                <w:szCs w:val="22"/>
                <w:lang w:eastAsia="es-CO"/>
              </w:rPr>
            </w:pPr>
            <w:r w:rsidRPr="005923FC">
              <w:rPr>
                <w:rFonts w:ascii="Tahoma" w:eastAsia="Times New Roman" w:hAnsi="Tahoma" w:cs="Tahoma"/>
                <w:color w:val="000000"/>
                <w:sz w:val="22"/>
                <w:szCs w:val="22"/>
                <w:lang w:eastAsia="es-CO"/>
              </w:rPr>
              <w:t>Faltante de Disponibilidad Presupuestal</w:t>
            </w:r>
          </w:p>
        </w:tc>
        <w:tc>
          <w:tcPr>
            <w:tcW w:w="2180" w:type="dxa"/>
            <w:tcBorders>
              <w:top w:val="nil"/>
              <w:left w:val="nil"/>
              <w:bottom w:val="single" w:sz="8" w:space="0" w:color="auto"/>
              <w:right w:val="single" w:sz="8" w:space="0" w:color="auto"/>
            </w:tcBorders>
            <w:shd w:val="clear" w:color="auto" w:fill="auto"/>
            <w:noWrap/>
            <w:vAlign w:val="bottom"/>
            <w:hideMark/>
          </w:tcPr>
          <w:p w:rsidR="00E6335B" w:rsidRPr="005923FC" w:rsidRDefault="00E6335B" w:rsidP="005923FC">
            <w:pPr>
              <w:jc w:val="right"/>
              <w:rPr>
                <w:rFonts w:ascii="Tahoma" w:eastAsia="Times New Roman" w:hAnsi="Tahoma" w:cs="Tahoma"/>
                <w:color w:val="FF0000"/>
                <w:sz w:val="22"/>
                <w:szCs w:val="22"/>
                <w:lang w:eastAsia="es-CO"/>
              </w:rPr>
            </w:pPr>
            <w:r w:rsidRPr="005923FC">
              <w:rPr>
                <w:rFonts w:ascii="Tahoma" w:eastAsia="Times New Roman" w:hAnsi="Tahoma" w:cs="Tahoma"/>
                <w:color w:val="FF0000"/>
                <w:sz w:val="22"/>
                <w:szCs w:val="22"/>
                <w:lang w:eastAsia="es-CO"/>
              </w:rPr>
              <w:t>-$ 560.151.975,00</w:t>
            </w:r>
          </w:p>
        </w:tc>
      </w:tr>
    </w:tbl>
    <w:p w:rsidR="00E6335B" w:rsidRDefault="00E6335B" w:rsidP="005923FC">
      <w:pPr>
        <w:jc w:val="both"/>
        <w:rPr>
          <w:rFonts w:ascii="Tahoma" w:hAnsi="Tahoma" w:cs="Tahoma"/>
          <w:sz w:val="22"/>
          <w:szCs w:val="22"/>
          <w:lang w:val="es-ES"/>
        </w:rPr>
      </w:pPr>
    </w:p>
    <w:p w:rsidR="004108D4" w:rsidRDefault="004108D4" w:rsidP="005923FC">
      <w:pPr>
        <w:jc w:val="both"/>
        <w:rPr>
          <w:rFonts w:ascii="Tahoma" w:hAnsi="Tahoma" w:cs="Tahoma"/>
          <w:sz w:val="22"/>
          <w:szCs w:val="22"/>
          <w:lang w:val="es-ES"/>
        </w:rPr>
      </w:pPr>
    </w:p>
    <w:p w:rsidR="004108D4" w:rsidRPr="004108D4" w:rsidRDefault="004108D4" w:rsidP="005923FC">
      <w:pPr>
        <w:jc w:val="both"/>
        <w:rPr>
          <w:rFonts w:ascii="Tahoma" w:hAnsi="Tahoma" w:cs="Tahoma"/>
          <w:color w:val="4472C4" w:themeColor="accent1"/>
          <w:sz w:val="22"/>
          <w:szCs w:val="22"/>
          <w:lang w:val="es-ES"/>
        </w:rPr>
      </w:pPr>
      <w:r w:rsidRPr="004108D4">
        <w:rPr>
          <w:rFonts w:ascii="Tahoma" w:hAnsi="Tahoma" w:cs="Tahoma"/>
          <w:color w:val="4472C4" w:themeColor="accent1"/>
          <w:sz w:val="22"/>
          <w:szCs w:val="22"/>
          <w:lang w:val="es-ES"/>
        </w:rPr>
        <w:t>IVAN Y LMD</w:t>
      </w:r>
    </w:p>
    <w:p w:rsidR="004108D4" w:rsidRPr="005923FC" w:rsidRDefault="004108D4" w:rsidP="005923FC">
      <w:pPr>
        <w:jc w:val="both"/>
        <w:rPr>
          <w:rFonts w:ascii="Tahoma" w:hAnsi="Tahoma" w:cs="Tahoma"/>
          <w:sz w:val="22"/>
          <w:szCs w:val="22"/>
          <w:lang w:val="es-ES"/>
        </w:rPr>
      </w:pPr>
    </w:p>
    <w:p w:rsidR="002B0F11" w:rsidRPr="004108D4" w:rsidRDefault="002B0F11" w:rsidP="004108D4">
      <w:pPr>
        <w:pStyle w:val="Prrafodelista"/>
        <w:numPr>
          <w:ilvl w:val="0"/>
          <w:numId w:val="3"/>
        </w:numPr>
        <w:jc w:val="both"/>
        <w:rPr>
          <w:rFonts w:ascii="Tahoma" w:hAnsi="Tahoma" w:cs="Tahoma"/>
          <w:lang w:val="es-ES"/>
        </w:rPr>
      </w:pPr>
      <w:r w:rsidRPr="004108D4">
        <w:rPr>
          <w:rFonts w:ascii="Tahoma" w:hAnsi="Tahoma" w:cs="Tahoma"/>
          <w:lang w:val="es-ES"/>
        </w:rPr>
        <w:t>En la designación del supervisor del contrato, se debe indicar claramente la forma como llevará a cabo su labor. En su defecto, el o los documentos en los cuales se encuentran consagradas sus atribuciones, funciones, facultades y obligaciones. Esta precisión también se debe hacer en la minuta del contrato.</w:t>
      </w:r>
    </w:p>
    <w:p w:rsidR="004108D4" w:rsidRPr="004108D4" w:rsidRDefault="004108D4" w:rsidP="004108D4">
      <w:pPr>
        <w:jc w:val="both"/>
        <w:rPr>
          <w:rFonts w:ascii="Tahoma" w:hAnsi="Tahoma" w:cs="Tahoma"/>
          <w:color w:val="4472C4" w:themeColor="accent1"/>
          <w:lang w:val="es-ES"/>
        </w:rPr>
      </w:pPr>
      <w:r>
        <w:rPr>
          <w:rFonts w:ascii="Tahoma" w:hAnsi="Tahoma" w:cs="Tahoma"/>
          <w:color w:val="4472C4" w:themeColor="accent1"/>
          <w:lang w:val="es-ES"/>
        </w:rPr>
        <w:t xml:space="preserve">PAULA </w:t>
      </w:r>
    </w:p>
    <w:p w:rsidR="004B589E" w:rsidRPr="005923FC" w:rsidRDefault="004B589E" w:rsidP="005923FC">
      <w:pPr>
        <w:jc w:val="both"/>
        <w:rPr>
          <w:rFonts w:ascii="Tahoma" w:hAnsi="Tahoma" w:cs="Tahoma"/>
          <w:sz w:val="22"/>
          <w:szCs w:val="22"/>
          <w:lang w:val="es-ES"/>
        </w:rPr>
      </w:pPr>
    </w:p>
    <w:p w:rsidR="002B0F11" w:rsidRPr="004108D4" w:rsidRDefault="002B0F11" w:rsidP="004108D4">
      <w:pPr>
        <w:pStyle w:val="Prrafodelista"/>
        <w:numPr>
          <w:ilvl w:val="0"/>
          <w:numId w:val="3"/>
        </w:numPr>
        <w:jc w:val="both"/>
        <w:rPr>
          <w:rFonts w:ascii="Tahoma" w:hAnsi="Tahoma" w:cs="Tahoma"/>
          <w:lang w:val="es-ES"/>
        </w:rPr>
      </w:pPr>
      <w:r w:rsidRPr="004108D4">
        <w:rPr>
          <w:rFonts w:ascii="Tahoma" w:hAnsi="Tahoma" w:cs="Tahoma"/>
          <w:lang w:val="es-ES"/>
        </w:rPr>
        <w:t>Se debe definir, si se van a excluir del contrato los ítems 7 y 12, toda vez que se observ</w:t>
      </w:r>
      <w:r w:rsidR="004B589E" w:rsidRPr="004108D4">
        <w:rPr>
          <w:rFonts w:ascii="Tahoma" w:hAnsi="Tahoma" w:cs="Tahoma"/>
          <w:lang w:val="es-ES"/>
        </w:rPr>
        <w:t>a</w:t>
      </w:r>
      <w:r w:rsidRPr="004108D4">
        <w:rPr>
          <w:rFonts w:ascii="Tahoma" w:hAnsi="Tahoma" w:cs="Tahoma"/>
          <w:lang w:val="es-ES"/>
        </w:rPr>
        <w:t xml:space="preserve"> que en el Anexo Técnico no se incluyeron en ningún lote.</w:t>
      </w:r>
    </w:p>
    <w:p w:rsidR="004108D4" w:rsidRPr="004108D4" w:rsidRDefault="004108D4" w:rsidP="004108D4">
      <w:pPr>
        <w:jc w:val="both"/>
        <w:rPr>
          <w:rFonts w:ascii="Tahoma" w:hAnsi="Tahoma" w:cs="Tahoma"/>
          <w:color w:val="4472C4" w:themeColor="accent1"/>
          <w:lang w:val="es-ES"/>
        </w:rPr>
      </w:pPr>
      <w:r>
        <w:rPr>
          <w:rFonts w:ascii="Tahoma" w:hAnsi="Tahoma" w:cs="Tahoma"/>
          <w:color w:val="4472C4" w:themeColor="accent1"/>
          <w:lang w:val="es-ES"/>
        </w:rPr>
        <w:t xml:space="preserve">LMD y GONZALO </w:t>
      </w:r>
    </w:p>
    <w:p w:rsidR="004B589E" w:rsidRDefault="004B589E" w:rsidP="005923FC">
      <w:pPr>
        <w:jc w:val="both"/>
        <w:rPr>
          <w:rFonts w:ascii="Tahoma" w:hAnsi="Tahoma" w:cs="Tahoma"/>
          <w:sz w:val="22"/>
          <w:szCs w:val="22"/>
          <w:lang w:val="es-ES"/>
        </w:rPr>
      </w:pPr>
    </w:p>
    <w:p w:rsidR="004108D4" w:rsidRPr="005923FC" w:rsidRDefault="004108D4" w:rsidP="005923FC">
      <w:pPr>
        <w:jc w:val="both"/>
        <w:rPr>
          <w:rFonts w:ascii="Tahoma" w:hAnsi="Tahoma" w:cs="Tahoma"/>
          <w:sz w:val="22"/>
          <w:szCs w:val="22"/>
          <w:lang w:val="es-ES"/>
        </w:rPr>
      </w:pPr>
    </w:p>
    <w:p w:rsidR="004B589E" w:rsidRPr="004108D4" w:rsidRDefault="002B0F11" w:rsidP="004108D4">
      <w:pPr>
        <w:pStyle w:val="Prrafodelista"/>
        <w:numPr>
          <w:ilvl w:val="0"/>
          <w:numId w:val="3"/>
        </w:numPr>
        <w:jc w:val="both"/>
        <w:rPr>
          <w:rFonts w:ascii="Tahoma" w:hAnsi="Tahoma" w:cs="Tahoma"/>
          <w:lang w:val="es-ES"/>
        </w:rPr>
      </w:pPr>
      <w:r w:rsidRPr="004108D4">
        <w:rPr>
          <w:rFonts w:ascii="Tahoma" w:hAnsi="Tahoma" w:cs="Tahoma"/>
          <w:lang w:val="es-ES"/>
        </w:rPr>
        <w:t>Es importante aclarar, la razón por la cual no se consideró en el numeral 2.1.2. del Anexo Técnico, los productos a adquirir para el proyecto 1101 – Distrito Diverso, que aportó $24.000.000, para la adquisición de bienes a los que se refiere el presente contrato.</w:t>
      </w:r>
    </w:p>
    <w:p w:rsidR="00F66BBA" w:rsidRDefault="00F66BBA" w:rsidP="00F66BBA">
      <w:pPr>
        <w:pStyle w:val="Prrafodelista"/>
        <w:ind w:left="360"/>
        <w:jc w:val="both"/>
        <w:rPr>
          <w:rFonts w:ascii="Tahoma" w:hAnsi="Tahoma" w:cs="Tahoma"/>
          <w:color w:val="4472C4" w:themeColor="accent1"/>
          <w:lang w:val="es-ES"/>
        </w:rPr>
      </w:pPr>
    </w:p>
    <w:p w:rsidR="00F66BBA" w:rsidRPr="00F66BBA" w:rsidRDefault="00F66BBA" w:rsidP="00F66BBA">
      <w:pPr>
        <w:jc w:val="both"/>
        <w:rPr>
          <w:rFonts w:ascii="Tahoma" w:hAnsi="Tahoma" w:cs="Tahoma"/>
          <w:color w:val="4472C4" w:themeColor="accent1"/>
          <w:lang w:val="es-ES"/>
        </w:rPr>
      </w:pPr>
      <w:r w:rsidRPr="00F66BBA">
        <w:rPr>
          <w:rFonts w:ascii="Tahoma" w:hAnsi="Tahoma" w:cs="Tahoma"/>
          <w:color w:val="4472C4" w:themeColor="accent1"/>
          <w:lang w:val="es-ES"/>
        </w:rPr>
        <w:t xml:space="preserve">LMD y GONZALO </w:t>
      </w:r>
    </w:p>
    <w:p w:rsidR="004B589E" w:rsidRDefault="004B589E" w:rsidP="005923FC">
      <w:pPr>
        <w:jc w:val="both"/>
        <w:rPr>
          <w:rFonts w:ascii="Tahoma" w:hAnsi="Tahoma" w:cs="Tahoma"/>
          <w:sz w:val="22"/>
          <w:szCs w:val="22"/>
          <w:lang w:val="es-ES"/>
        </w:rPr>
      </w:pPr>
    </w:p>
    <w:p w:rsidR="00F66BBA" w:rsidRPr="005923FC" w:rsidRDefault="00F66BBA" w:rsidP="005923FC">
      <w:pPr>
        <w:jc w:val="both"/>
        <w:rPr>
          <w:rFonts w:ascii="Tahoma" w:hAnsi="Tahoma" w:cs="Tahoma"/>
          <w:sz w:val="22"/>
          <w:szCs w:val="22"/>
          <w:lang w:val="es-ES"/>
        </w:rPr>
      </w:pPr>
    </w:p>
    <w:p w:rsidR="004B589E" w:rsidRPr="004108D4" w:rsidRDefault="002B0F11" w:rsidP="004108D4">
      <w:pPr>
        <w:pStyle w:val="Prrafodelista"/>
        <w:numPr>
          <w:ilvl w:val="0"/>
          <w:numId w:val="3"/>
        </w:numPr>
        <w:jc w:val="both"/>
        <w:rPr>
          <w:rFonts w:ascii="Tahoma" w:hAnsi="Tahoma" w:cs="Tahoma"/>
          <w:lang w:val="es-ES"/>
        </w:rPr>
      </w:pPr>
      <w:r w:rsidRPr="004108D4">
        <w:rPr>
          <w:rFonts w:ascii="Tahoma" w:hAnsi="Tahoma" w:cs="Tahoma"/>
          <w:lang w:val="es-ES"/>
        </w:rPr>
        <w:t xml:space="preserve">En el Anexo Técnico se deben completar los datos de los números de contactos de los sitios donde se realizarán las entregas, en relación con el </w:t>
      </w:r>
      <w:r w:rsidR="004B589E" w:rsidRPr="004108D4">
        <w:rPr>
          <w:rFonts w:ascii="Tahoma" w:hAnsi="Tahoma" w:cs="Tahoma"/>
          <w:lang w:val="es-ES"/>
        </w:rPr>
        <w:t>P</w:t>
      </w:r>
      <w:r w:rsidRPr="004108D4">
        <w:rPr>
          <w:rFonts w:ascii="Tahoma" w:hAnsi="Tahoma" w:cs="Tahoma"/>
          <w:lang w:val="es-ES"/>
        </w:rPr>
        <w:t>royecto 1099 y la Subdirección de Nutrición y Abastecimiento.</w:t>
      </w:r>
    </w:p>
    <w:p w:rsidR="00F66BBA" w:rsidRPr="00F66BBA" w:rsidRDefault="00F66BBA" w:rsidP="00F66BBA">
      <w:pPr>
        <w:jc w:val="both"/>
        <w:rPr>
          <w:rFonts w:ascii="Tahoma" w:hAnsi="Tahoma" w:cs="Tahoma"/>
          <w:color w:val="4472C4" w:themeColor="accent1"/>
          <w:lang w:val="es-ES"/>
        </w:rPr>
      </w:pPr>
      <w:r w:rsidRPr="00F66BBA">
        <w:rPr>
          <w:rFonts w:ascii="Tahoma" w:hAnsi="Tahoma" w:cs="Tahoma"/>
          <w:color w:val="4472C4" w:themeColor="accent1"/>
          <w:lang w:val="es-ES"/>
        </w:rPr>
        <w:t xml:space="preserve">GONZALO </w:t>
      </w:r>
    </w:p>
    <w:p w:rsidR="004B589E" w:rsidRDefault="004B589E" w:rsidP="005923FC">
      <w:pPr>
        <w:jc w:val="both"/>
        <w:rPr>
          <w:rFonts w:ascii="Tahoma" w:hAnsi="Tahoma" w:cs="Tahoma"/>
          <w:sz w:val="22"/>
          <w:szCs w:val="22"/>
          <w:lang w:val="es-ES"/>
        </w:rPr>
      </w:pPr>
    </w:p>
    <w:p w:rsidR="00F66BBA" w:rsidRPr="005923FC" w:rsidRDefault="00F66BBA" w:rsidP="005923FC">
      <w:pPr>
        <w:jc w:val="both"/>
        <w:rPr>
          <w:rFonts w:ascii="Tahoma" w:hAnsi="Tahoma" w:cs="Tahoma"/>
          <w:sz w:val="22"/>
          <w:szCs w:val="22"/>
          <w:lang w:val="es-ES"/>
        </w:rPr>
      </w:pPr>
    </w:p>
    <w:p w:rsidR="004B589E" w:rsidRPr="004108D4" w:rsidRDefault="002B0F11" w:rsidP="004108D4">
      <w:pPr>
        <w:pStyle w:val="Prrafodelista"/>
        <w:numPr>
          <w:ilvl w:val="0"/>
          <w:numId w:val="3"/>
        </w:numPr>
        <w:jc w:val="both"/>
        <w:rPr>
          <w:rFonts w:ascii="Tahoma" w:hAnsi="Tahoma" w:cs="Tahoma"/>
          <w:lang w:val="es-ES"/>
        </w:rPr>
      </w:pPr>
      <w:r w:rsidRPr="004108D4">
        <w:rPr>
          <w:rFonts w:ascii="Tahoma" w:hAnsi="Tahoma" w:cs="Tahoma"/>
          <w:lang w:val="es-ES"/>
        </w:rPr>
        <w:t>En el cuadro de sitios de entrega, tampoco se incluyó el proyecto 1101 – Distrito Diverso.</w:t>
      </w:r>
    </w:p>
    <w:p w:rsidR="004B589E" w:rsidRPr="005923FC" w:rsidRDefault="00F66BBA" w:rsidP="005923FC">
      <w:pPr>
        <w:jc w:val="both"/>
        <w:rPr>
          <w:rFonts w:ascii="Tahoma" w:hAnsi="Tahoma" w:cs="Tahoma"/>
          <w:sz w:val="22"/>
          <w:szCs w:val="22"/>
          <w:lang w:val="es-ES"/>
        </w:rPr>
      </w:pPr>
      <w:r w:rsidRPr="00F66BBA">
        <w:rPr>
          <w:rFonts w:ascii="Tahoma" w:hAnsi="Tahoma" w:cs="Tahoma"/>
          <w:color w:val="4472C4" w:themeColor="accent1"/>
          <w:lang w:val="es-ES"/>
        </w:rPr>
        <w:t>GONZALO</w:t>
      </w:r>
    </w:p>
    <w:p w:rsidR="002B0F11" w:rsidRPr="004108D4" w:rsidRDefault="002B0F11" w:rsidP="004108D4">
      <w:pPr>
        <w:pStyle w:val="Prrafodelista"/>
        <w:numPr>
          <w:ilvl w:val="0"/>
          <w:numId w:val="3"/>
        </w:numPr>
        <w:jc w:val="both"/>
        <w:rPr>
          <w:rFonts w:ascii="Tahoma" w:hAnsi="Tahoma" w:cs="Tahoma"/>
          <w:lang w:val="es-ES"/>
        </w:rPr>
      </w:pPr>
      <w:r w:rsidRPr="004108D4">
        <w:rPr>
          <w:rFonts w:ascii="Tahoma" w:hAnsi="Tahoma" w:cs="Tahoma"/>
          <w:lang w:val="es-ES"/>
        </w:rPr>
        <w:lastRenderedPageBreak/>
        <w:t>Se debe reducir el plazo de 2 días hábiles otorgado al contratista para la reposición y cambio de productos defectuosos, teniendo en cuenta la importancia que para la salud y la vida tienen los elementos a adquirir, será preciso considerar un plazo inferior a 24 horas.</w:t>
      </w:r>
    </w:p>
    <w:p w:rsidR="00F66BBA" w:rsidRPr="00F66BBA" w:rsidRDefault="00F66BBA" w:rsidP="00F66BBA">
      <w:pPr>
        <w:jc w:val="both"/>
        <w:rPr>
          <w:rFonts w:ascii="Tahoma" w:hAnsi="Tahoma" w:cs="Tahoma"/>
          <w:sz w:val="22"/>
          <w:szCs w:val="22"/>
          <w:lang w:val="es-ES"/>
        </w:rPr>
      </w:pPr>
      <w:r w:rsidRPr="00F66BBA">
        <w:rPr>
          <w:rFonts w:ascii="Tahoma" w:hAnsi="Tahoma" w:cs="Tahoma"/>
          <w:color w:val="4472C4" w:themeColor="accent1"/>
          <w:lang w:val="es-ES"/>
        </w:rPr>
        <w:t>GONZALO</w:t>
      </w:r>
      <w:r w:rsidR="00622ED9">
        <w:rPr>
          <w:rFonts w:ascii="Tahoma" w:hAnsi="Tahoma" w:cs="Tahoma"/>
          <w:color w:val="4472C4" w:themeColor="accent1"/>
          <w:lang w:val="es-ES"/>
        </w:rPr>
        <w:t xml:space="preserve"> Y PAULA</w:t>
      </w:r>
    </w:p>
    <w:p w:rsidR="004B589E" w:rsidRPr="005923FC" w:rsidRDefault="004B589E" w:rsidP="005923FC">
      <w:pPr>
        <w:jc w:val="both"/>
        <w:rPr>
          <w:rFonts w:ascii="Tahoma" w:hAnsi="Tahoma" w:cs="Tahoma"/>
          <w:sz w:val="22"/>
          <w:szCs w:val="22"/>
          <w:lang w:val="es-ES"/>
        </w:rPr>
      </w:pPr>
    </w:p>
    <w:p w:rsidR="004475E8" w:rsidRPr="004108D4" w:rsidRDefault="002B0F11" w:rsidP="004108D4">
      <w:pPr>
        <w:pStyle w:val="Prrafodelista"/>
        <w:numPr>
          <w:ilvl w:val="0"/>
          <w:numId w:val="3"/>
        </w:numPr>
        <w:jc w:val="both"/>
        <w:rPr>
          <w:rFonts w:ascii="Tahoma" w:hAnsi="Tahoma" w:cs="Tahoma"/>
          <w:lang w:val="es-ES"/>
        </w:rPr>
      </w:pPr>
      <w:r w:rsidRPr="004108D4">
        <w:rPr>
          <w:rFonts w:ascii="Tahoma" w:hAnsi="Tahoma" w:cs="Tahoma"/>
          <w:lang w:val="es-ES"/>
        </w:rPr>
        <w:t>En relación con los riesgo</w:t>
      </w:r>
      <w:r w:rsidR="004475E8" w:rsidRPr="004108D4">
        <w:rPr>
          <w:rFonts w:ascii="Tahoma" w:hAnsi="Tahoma" w:cs="Tahoma"/>
          <w:lang w:val="es-ES"/>
        </w:rPr>
        <w:t>s.</w:t>
      </w:r>
    </w:p>
    <w:p w:rsidR="004475E8" w:rsidRPr="005923FC" w:rsidRDefault="004475E8" w:rsidP="005923FC">
      <w:pPr>
        <w:jc w:val="both"/>
        <w:rPr>
          <w:rFonts w:ascii="Tahoma" w:hAnsi="Tahoma" w:cs="Tahoma"/>
          <w:sz w:val="22"/>
          <w:szCs w:val="22"/>
          <w:lang w:val="es-ES"/>
        </w:rPr>
      </w:pPr>
    </w:p>
    <w:p w:rsidR="004475E8" w:rsidRPr="005923FC" w:rsidRDefault="004475E8" w:rsidP="004108D4">
      <w:pPr>
        <w:pStyle w:val="Estilopredeterminado"/>
        <w:spacing w:after="0" w:line="240" w:lineRule="auto"/>
        <w:ind w:left="360"/>
        <w:jc w:val="both"/>
        <w:rPr>
          <w:rFonts w:ascii="Tahoma" w:hAnsi="Tahoma" w:cs="Tahoma"/>
          <w:bCs/>
        </w:rPr>
      </w:pPr>
      <w:r w:rsidRPr="005923FC">
        <w:rPr>
          <w:rFonts w:ascii="Tahoma" w:hAnsi="Tahoma" w:cs="Tahoma"/>
          <w:bCs/>
        </w:rPr>
        <w:t xml:space="preserve">Se establecen unos riesgos que a consideración de </w:t>
      </w:r>
      <w:r w:rsidR="00C43EEF" w:rsidRPr="005923FC">
        <w:rPr>
          <w:rFonts w:ascii="Tahoma" w:hAnsi="Tahoma" w:cs="Tahoma"/>
          <w:bCs/>
        </w:rPr>
        <w:t xml:space="preserve">la Veeduría </w:t>
      </w:r>
      <w:r w:rsidRPr="005923FC">
        <w:rPr>
          <w:rFonts w:ascii="Tahoma" w:hAnsi="Tahoma" w:cs="Tahoma"/>
          <w:bCs/>
        </w:rPr>
        <w:t xml:space="preserve">no obedecen a la realidad de la contratación, por lo que deben estar enmarcados dentro de la emergencia del </w:t>
      </w:r>
      <w:r w:rsidR="00C43EEF" w:rsidRPr="005923FC">
        <w:rPr>
          <w:rFonts w:ascii="Tahoma" w:hAnsi="Tahoma" w:cs="Tahoma"/>
          <w:bCs/>
        </w:rPr>
        <w:t>C</w:t>
      </w:r>
      <w:r w:rsidRPr="005923FC">
        <w:rPr>
          <w:rFonts w:ascii="Tahoma" w:hAnsi="Tahoma" w:cs="Tahoma"/>
          <w:bCs/>
        </w:rPr>
        <w:t>ovid</w:t>
      </w:r>
      <w:r w:rsidR="00C43EEF" w:rsidRPr="005923FC">
        <w:rPr>
          <w:rFonts w:ascii="Tahoma" w:hAnsi="Tahoma" w:cs="Tahoma"/>
          <w:bCs/>
        </w:rPr>
        <w:t>-</w:t>
      </w:r>
      <w:r w:rsidRPr="005923FC">
        <w:rPr>
          <w:rFonts w:ascii="Tahoma" w:hAnsi="Tahoma" w:cs="Tahoma"/>
          <w:bCs/>
        </w:rPr>
        <w:t xml:space="preserve">19 para que cubran aquellas situaciones que se puedan presentar. </w:t>
      </w:r>
    </w:p>
    <w:p w:rsidR="004475E8" w:rsidRPr="005923FC" w:rsidRDefault="004475E8" w:rsidP="004108D4">
      <w:pPr>
        <w:ind w:left="360"/>
        <w:jc w:val="both"/>
        <w:rPr>
          <w:rFonts w:ascii="Tahoma" w:hAnsi="Tahoma" w:cs="Tahoma"/>
          <w:sz w:val="22"/>
          <w:szCs w:val="22"/>
          <w:lang w:val="es-ES"/>
        </w:rPr>
      </w:pPr>
    </w:p>
    <w:p w:rsidR="002B0F11" w:rsidRPr="005923FC" w:rsidRDefault="002B0F11" w:rsidP="004108D4">
      <w:pPr>
        <w:ind w:left="360"/>
        <w:jc w:val="both"/>
        <w:rPr>
          <w:rFonts w:ascii="Tahoma" w:hAnsi="Tahoma" w:cs="Tahoma"/>
          <w:sz w:val="22"/>
          <w:szCs w:val="22"/>
          <w:lang w:val="es-ES"/>
        </w:rPr>
      </w:pPr>
      <w:r w:rsidRPr="005923FC">
        <w:rPr>
          <w:rFonts w:ascii="Tahoma" w:hAnsi="Tahoma" w:cs="Tahoma"/>
          <w:sz w:val="22"/>
          <w:szCs w:val="22"/>
          <w:lang w:val="es-ES"/>
        </w:rPr>
        <w:t xml:space="preserve">No contar con la capacidad para cumplir con la entrega de los bienes contratados y defectos en la calidad de los bienes total o parcial en el marco del objeto del contrato no deben incluirse en la matriz enviada por cuanto </w:t>
      </w:r>
      <w:r w:rsidR="004B589E" w:rsidRPr="005923FC">
        <w:rPr>
          <w:rFonts w:ascii="Tahoma" w:hAnsi="Tahoma" w:cs="Tahoma"/>
          <w:sz w:val="22"/>
          <w:szCs w:val="22"/>
          <w:lang w:val="es-ES"/>
        </w:rPr>
        <w:t xml:space="preserve">es un tema relativo al cumplimiento del contrato y </w:t>
      </w:r>
      <w:r w:rsidRPr="005923FC">
        <w:rPr>
          <w:rFonts w:ascii="Tahoma" w:hAnsi="Tahoma" w:cs="Tahoma"/>
          <w:sz w:val="22"/>
          <w:szCs w:val="22"/>
          <w:lang w:val="es-ES"/>
        </w:rPr>
        <w:t>se encuentra</w:t>
      </w:r>
      <w:r w:rsidR="004B589E" w:rsidRPr="005923FC">
        <w:rPr>
          <w:rFonts w:ascii="Tahoma" w:hAnsi="Tahoma" w:cs="Tahoma"/>
          <w:sz w:val="22"/>
          <w:szCs w:val="22"/>
          <w:lang w:val="es-ES"/>
        </w:rPr>
        <w:t>n</w:t>
      </w:r>
      <w:r w:rsidRPr="005923FC">
        <w:rPr>
          <w:rFonts w:ascii="Tahoma" w:hAnsi="Tahoma" w:cs="Tahoma"/>
          <w:sz w:val="22"/>
          <w:szCs w:val="22"/>
          <w:lang w:val="es-ES"/>
        </w:rPr>
        <w:t xml:space="preserve"> cubiertos por la garantía mediante los amparos de cumplimiento y calidad de los bienes.</w:t>
      </w:r>
    </w:p>
    <w:p w:rsidR="004B589E" w:rsidRPr="005923FC" w:rsidRDefault="004B589E" w:rsidP="004108D4">
      <w:pPr>
        <w:ind w:left="360"/>
        <w:jc w:val="both"/>
        <w:rPr>
          <w:rFonts w:ascii="Tahoma" w:hAnsi="Tahoma" w:cs="Tahoma"/>
          <w:sz w:val="22"/>
          <w:szCs w:val="22"/>
          <w:lang w:val="es-ES"/>
        </w:rPr>
      </w:pPr>
    </w:p>
    <w:p w:rsidR="002B0F11" w:rsidRPr="005923FC" w:rsidRDefault="002B0F11" w:rsidP="004108D4">
      <w:pPr>
        <w:ind w:left="360"/>
        <w:jc w:val="both"/>
        <w:rPr>
          <w:rFonts w:ascii="Tahoma" w:hAnsi="Tahoma" w:cs="Tahoma"/>
          <w:sz w:val="22"/>
          <w:szCs w:val="22"/>
          <w:lang w:val="es-ES"/>
        </w:rPr>
      </w:pPr>
      <w:r w:rsidRPr="005923FC">
        <w:rPr>
          <w:rFonts w:ascii="Tahoma" w:hAnsi="Tahoma" w:cs="Tahoma"/>
          <w:sz w:val="22"/>
          <w:szCs w:val="22"/>
          <w:lang w:val="es-ES"/>
        </w:rPr>
        <w:t>En relación con el riesgo pérdida o robo de bienes, no debe incluirse en la matriz</w:t>
      </w:r>
      <w:r w:rsidR="004B589E" w:rsidRPr="005923FC">
        <w:rPr>
          <w:rFonts w:ascii="Tahoma" w:hAnsi="Tahoma" w:cs="Tahoma"/>
          <w:sz w:val="22"/>
          <w:szCs w:val="22"/>
          <w:lang w:val="es-ES"/>
        </w:rPr>
        <w:t>,</w:t>
      </w:r>
      <w:r w:rsidRPr="005923FC">
        <w:rPr>
          <w:rFonts w:ascii="Tahoma" w:hAnsi="Tahoma" w:cs="Tahoma"/>
          <w:sz w:val="22"/>
          <w:szCs w:val="22"/>
          <w:lang w:val="es-ES"/>
        </w:rPr>
        <w:t xml:space="preserve"> toda vez que deberá asumirse por la parte responsable de la custodia y tenencia de los bienes en el momento en que este ocurra. De tal manera que</w:t>
      </w:r>
      <w:r w:rsidR="004B589E" w:rsidRPr="005923FC">
        <w:rPr>
          <w:rFonts w:ascii="Tahoma" w:hAnsi="Tahoma" w:cs="Tahoma"/>
          <w:sz w:val="22"/>
          <w:szCs w:val="22"/>
          <w:lang w:val="es-ES"/>
        </w:rPr>
        <w:t>,</w:t>
      </w:r>
      <w:r w:rsidRPr="005923FC">
        <w:rPr>
          <w:rFonts w:ascii="Tahoma" w:hAnsi="Tahoma" w:cs="Tahoma"/>
          <w:sz w:val="22"/>
          <w:szCs w:val="22"/>
          <w:lang w:val="es-ES"/>
        </w:rPr>
        <w:t xml:space="preserve"> si ocurre antes de ser entregados por el contratista, será éste quien deberá asumir la pérdida y cumplir con la obligación de entregar los bienes sustraídos a la Secretaría, pero si ocurre con posterioridad a su entrega formal o material, se encontrará a cargo de la Entidad asumir las acciones correspondientes para su recuperación.</w:t>
      </w:r>
    </w:p>
    <w:p w:rsidR="004B589E" w:rsidRPr="005923FC" w:rsidRDefault="004B589E" w:rsidP="004108D4">
      <w:pPr>
        <w:ind w:left="360"/>
        <w:jc w:val="both"/>
        <w:rPr>
          <w:rFonts w:ascii="Tahoma" w:hAnsi="Tahoma" w:cs="Tahoma"/>
          <w:sz w:val="22"/>
          <w:szCs w:val="22"/>
          <w:lang w:val="es-ES"/>
        </w:rPr>
      </w:pPr>
    </w:p>
    <w:p w:rsidR="002B0F11" w:rsidRPr="005923FC" w:rsidRDefault="002B0F11" w:rsidP="004108D4">
      <w:pPr>
        <w:ind w:left="360"/>
        <w:jc w:val="both"/>
        <w:rPr>
          <w:rFonts w:ascii="Tahoma" w:hAnsi="Tahoma" w:cs="Tahoma"/>
          <w:sz w:val="22"/>
          <w:szCs w:val="22"/>
          <w:lang w:val="es-ES"/>
        </w:rPr>
      </w:pPr>
      <w:r w:rsidRPr="005923FC">
        <w:rPr>
          <w:rFonts w:ascii="Tahoma" w:hAnsi="Tahoma" w:cs="Tahoma"/>
          <w:sz w:val="22"/>
          <w:szCs w:val="22"/>
          <w:lang w:val="es-ES"/>
        </w:rPr>
        <w:t>Se debe eliminar de la matriz la expresión asociado – contratista, estos no son convenios de asociación.</w:t>
      </w:r>
    </w:p>
    <w:p w:rsidR="004B589E" w:rsidRPr="005923FC" w:rsidRDefault="004B589E" w:rsidP="004108D4">
      <w:pPr>
        <w:ind w:left="360"/>
        <w:jc w:val="both"/>
        <w:rPr>
          <w:rFonts w:ascii="Tahoma" w:hAnsi="Tahoma" w:cs="Tahoma"/>
          <w:sz w:val="22"/>
          <w:szCs w:val="22"/>
          <w:lang w:val="es-ES"/>
        </w:rPr>
      </w:pPr>
    </w:p>
    <w:p w:rsidR="002B0F11" w:rsidRPr="005923FC" w:rsidRDefault="002B0F11" w:rsidP="004108D4">
      <w:pPr>
        <w:ind w:left="360"/>
        <w:jc w:val="both"/>
        <w:rPr>
          <w:rFonts w:ascii="Tahoma" w:hAnsi="Tahoma" w:cs="Tahoma"/>
          <w:sz w:val="22"/>
          <w:szCs w:val="22"/>
          <w:lang w:val="es-ES"/>
        </w:rPr>
      </w:pPr>
      <w:r w:rsidRPr="005923FC">
        <w:rPr>
          <w:rFonts w:ascii="Tahoma" w:hAnsi="Tahoma" w:cs="Tahoma"/>
          <w:sz w:val="22"/>
          <w:szCs w:val="22"/>
          <w:lang w:val="es-ES"/>
        </w:rPr>
        <w:t>Revisar los riesgos incluidos en la matriz y hacerlos acordes al objeto contractual, sus especificaciones, características y las situaciones que motivas su celebración.</w:t>
      </w:r>
    </w:p>
    <w:p w:rsidR="004B589E" w:rsidRPr="005923FC" w:rsidRDefault="004B589E" w:rsidP="004108D4">
      <w:pPr>
        <w:ind w:left="360"/>
        <w:jc w:val="both"/>
        <w:rPr>
          <w:rFonts w:ascii="Tahoma" w:hAnsi="Tahoma" w:cs="Tahoma"/>
          <w:sz w:val="22"/>
          <w:szCs w:val="22"/>
          <w:lang w:val="es-ES"/>
        </w:rPr>
      </w:pPr>
    </w:p>
    <w:p w:rsidR="002B0F11" w:rsidRPr="005923FC" w:rsidRDefault="002B0F11" w:rsidP="004108D4">
      <w:pPr>
        <w:ind w:left="360"/>
        <w:jc w:val="both"/>
        <w:rPr>
          <w:rFonts w:ascii="Tahoma" w:hAnsi="Tahoma" w:cs="Tahoma"/>
          <w:sz w:val="22"/>
          <w:szCs w:val="22"/>
          <w:lang w:val="es-ES"/>
        </w:rPr>
      </w:pPr>
      <w:r w:rsidRPr="005923FC">
        <w:rPr>
          <w:rFonts w:ascii="Tahoma" w:hAnsi="Tahoma" w:cs="Tahoma"/>
          <w:sz w:val="22"/>
          <w:szCs w:val="22"/>
          <w:lang w:val="es-ES"/>
        </w:rPr>
        <w:t>De la misma forma</w:t>
      </w:r>
      <w:r w:rsidR="004B589E" w:rsidRPr="005923FC">
        <w:rPr>
          <w:rFonts w:ascii="Tahoma" w:hAnsi="Tahoma" w:cs="Tahoma"/>
          <w:sz w:val="22"/>
          <w:szCs w:val="22"/>
          <w:lang w:val="es-ES"/>
        </w:rPr>
        <w:t>,</w:t>
      </w:r>
      <w:r w:rsidRPr="005923FC">
        <w:rPr>
          <w:rFonts w:ascii="Tahoma" w:hAnsi="Tahoma" w:cs="Tahoma"/>
          <w:sz w:val="22"/>
          <w:szCs w:val="22"/>
          <w:lang w:val="es-ES"/>
        </w:rPr>
        <w:t xml:space="preserve"> se debe revisar de manera detenida los tratamientos y controles a ser implementados.</w:t>
      </w:r>
    </w:p>
    <w:p w:rsidR="002B0F11" w:rsidRDefault="002B0F11" w:rsidP="005923FC">
      <w:pPr>
        <w:jc w:val="both"/>
        <w:rPr>
          <w:rFonts w:ascii="Tahoma" w:hAnsi="Tahoma" w:cs="Tahoma"/>
          <w:sz w:val="22"/>
          <w:szCs w:val="22"/>
          <w:lang w:val="es-ES"/>
        </w:rPr>
      </w:pPr>
    </w:p>
    <w:p w:rsidR="00F66BBA" w:rsidRPr="00F66BBA" w:rsidRDefault="00622ED9" w:rsidP="00F66BBA">
      <w:pPr>
        <w:jc w:val="both"/>
        <w:rPr>
          <w:rFonts w:ascii="Tahoma" w:hAnsi="Tahoma" w:cs="Tahoma"/>
          <w:sz w:val="22"/>
          <w:szCs w:val="22"/>
          <w:lang w:val="es-ES"/>
        </w:rPr>
      </w:pPr>
      <w:r>
        <w:rPr>
          <w:rFonts w:ascii="Tahoma" w:hAnsi="Tahoma" w:cs="Tahoma"/>
          <w:color w:val="4472C4" w:themeColor="accent1"/>
          <w:lang w:val="es-ES"/>
        </w:rPr>
        <w:t>PAULA</w:t>
      </w:r>
    </w:p>
    <w:p w:rsidR="00F66BBA" w:rsidRDefault="00F66BBA" w:rsidP="005923FC">
      <w:pPr>
        <w:jc w:val="both"/>
        <w:rPr>
          <w:rFonts w:ascii="Tahoma" w:hAnsi="Tahoma" w:cs="Tahoma"/>
          <w:color w:val="4472C4" w:themeColor="accent1"/>
          <w:sz w:val="22"/>
          <w:szCs w:val="22"/>
          <w:lang w:val="es-ES"/>
        </w:rPr>
      </w:pPr>
    </w:p>
    <w:p w:rsidR="00F66BBA" w:rsidRDefault="00F66BBA" w:rsidP="005923FC">
      <w:pPr>
        <w:jc w:val="both"/>
        <w:rPr>
          <w:rFonts w:ascii="Tahoma" w:hAnsi="Tahoma" w:cs="Tahoma"/>
          <w:color w:val="4472C4" w:themeColor="accent1"/>
          <w:sz w:val="22"/>
          <w:szCs w:val="22"/>
          <w:lang w:val="es-ES"/>
        </w:rPr>
      </w:pPr>
    </w:p>
    <w:p w:rsidR="00F66BBA" w:rsidRPr="00F66BBA" w:rsidRDefault="00F66BBA" w:rsidP="005923FC">
      <w:pPr>
        <w:jc w:val="both"/>
        <w:rPr>
          <w:rFonts w:ascii="Tahoma" w:hAnsi="Tahoma" w:cs="Tahoma"/>
          <w:color w:val="4472C4" w:themeColor="accent1"/>
          <w:sz w:val="22"/>
          <w:szCs w:val="22"/>
          <w:lang w:val="es-ES"/>
        </w:rPr>
      </w:pPr>
    </w:p>
    <w:p w:rsidR="002B0F11" w:rsidRPr="004108D4" w:rsidRDefault="002B0F11" w:rsidP="004108D4">
      <w:pPr>
        <w:pStyle w:val="Prrafodelista"/>
        <w:numPr>
          <w:ilvl w:val="0"/>
          <w:numId w:val="3"/>
        </w:numPr>
        <w:jc w:val="both"/>
        <w:rPr>
          <w:rFonts w:ascii="Tahoma" w:hAnsi="Tahoma" w:cs="Tahoma"/>
          <w:lang w:val="es-ES"/>
        </w:rPr>
      </w:pPr>
      <w:r w:rsidRPr="004108D4">
        <w:rPr>
          <w:rFonts w:ascii="Tahoma" w:hAnsi="Tahoma" w:cs="Tahoma"/>
          <w:lang w:val="es-ES"/>
        </w:rPr>
        <w:t>No se emite pronunciamiento en relación con la Resolución No</w:t>
      </w:r>
      <w:r w:rsidR="00C42D6D" w:rsidRPr="004108D4">
        <w:rPr>
          <w:rFonts w:ascii="Tahoma" w:hAnsi="Tahoma" w:cs="Tahoma"/>
          <w:lang w:val="es-ES"/>
        </w:rPr>
        <w:t>.</w:t>
      </w:r>
      <w:r w:rsidRPr="004108D4">
        <w:rPr>
          <w:rFonts w:ascii="Tahoma" w:hAnsi="Tahoma" w:cs="Tahoma"/>
          <w:lang w:val="es-ES"/>
        </w:rPr>
        <w:t xml:space="preserve"> 654 del 20 de marzo de 2020, por medio de la cual se declaró la urgencia manifiesta para celebrar la contratación de bienes y servicios necesarios para atender la emergencia sanitaria causada por el coronavirus COVID-19, puesto que no fue enviada por la SDIS.</w:t>
      </w:r>
    </w:p>
    <w:p w:rsidR="002B0F11" w:rsidRDefault="002B0F11" w:rsidP="005923FC">
      <w:pPr>
        <w:jc w:val="both"/>
        <w:rPr>
          <w:rFonts w:ascii="Tahoma" w:hAnsi="Tahoma" w:cs="Tahoma"/>
          <w:sz w:val="22"/>
          <w:szCs w:val="22"/>
          <w:lang w:val="es-ES"/>
        </w:rPr>
      </w:pPr>
    </w:p>
    <w:p w:rsidR="00F66BBA" w:rsidRPr="00F66BBA" w:rsidRDefault="00F66BBA" w:rsidP="00F66BBA">
      <w:pPr>
        <w:jc w:val="both"/>
        <w:rPr>
          <w:rFonts w:ascii="Tahoma" w:hAnsi="Tahoma" w:cs="Tahoma"/>
          <w:sz w:val="22"/>
          <w:szCs w:val="22"/>
          <w:lang w:val="es-ES"/>
        </w:rPr>
      </w:pPr>
      <w:r>
        <w:rPr>
          <w:rFonts w:ascii="Tahoma" w:hAnsi="Tahoma" w:cs="Tahoma"/>
          <w:color w:val="4472C4" w:themeColor="accent1"/>
          <w:lang w:val="es-ES"/>
        </w:rPr>
        <w:t>PAULA - CONTRATACION</w:t>
      </w:r>
    </w:p>
    <w:p w:rsidR="00F66BBA" w:rsidRDefault="00F66BBA" w:rsidP="005923FC">
      <w:pPr>
        <w:jc w:val="both"/>
        <w:rPr>
          <w:rFonts w:ascii="Tahoma" w:hAnsi="Tahoma" w:cs="Tahoma"/>
          <w:sz w:val="22"/>
          <w:szCs w:val="22"/>
          <w:lang w:val="es-ES"/>
        </w:rPr>
      </w:pPr>
    </w:p>
    <w:p w:rsidR="00F66BBA" w:rsidRPr="005923FC" w:rsidRDefault="00F66BBA" w:rsidP="005923FC">
      <w:pPr>
        <w:jc w:val="both"/>
        <w:rPr>
          <w:rFonts w:ascii="Tahoma" w:hAnsi="Tahoma" w:cs="Tahoma"/>
          <w:sz w:val="22"/>
          <w:szCs w:val="22"/>
          <w:lang w:val="es-ES"/>
        </w:rPr>
      </w:pPr>
    </w:p>
    <w:p w:rsidR="00E6335B" w:rsidRPr="004108D4" w:rsidRDefault="002B0F11" w:rsidP="004108D4">
      <w:pPr>
        <w:pStyle w:val="Prrafodelista"/>
        <w:numPr>
          <w:ilvl w:val="0"/>
          <w:numId w:val="3"/>
        </w:numPr>
        <w:jc w:val="both"/>
        <w:rPr>
          <w:rFonts w:ascii="Tahoma" w:hAnsi="Tahoma" w:cs="Tahoma"/>
          <w:lang w:val="es-ES"/>
        </w:rPr>
      </w:pPr>
      <w:r w:rsidRPr="004108D4">
        <w:rPr>
          <w:rFonts w:ascii="Tahoma" w:hAnsi="Tahoma" w:cs="Tahoma"/>
          <w:lang w:val="es-ES"/>
        </w:rPr>
        <w:t xml:space="preserve">No fueron enviados los clausulados de los contratos y ni los </w:t>
      </w:r>
      <w:proofErr w:type="spellStart"/>
      <w:r w:rsidRPr="004108D4">
        <w:rPr>
          <w:rFonts w:ascii="Tahoma" w:hAnsi="Tahoma" w:cs="Tahoma"/>
          <w:lang w:val="es-ES"/>
        </w:rPr>
        <w:t>CDPs</w:t>
      </w:r>
      <w:proofErr w:type="spellEnd"/>
      <w:r w:rsidRPr="004108D4">
        <w:rPr>
          <w:rFonts w:ascii="Tahoma" w:hAnsi="Tahoma" w:cs="Tahoma"/>
          <w:lang w:val="es-ES"/>
        </w:rPr>
        <w:t xml:space="preserve"> correspondientes a los proyectos 1099, 1108 y 1090.</w:t>
      </w:r>
    </w:p>
    <w:p w:rsidR="00E6335B" w:rsidRPr="005923FC" w:rsidRDefault="00E6335B" w:rsidP="005923FC">
      <w:pPr>
        <w:jc w:val="both"/>
        <w:rPr>
          <w:rFonts w:ascii="Tahoma" w:hAnsi="Tahoma" w:cs="Tahoma"/>
          <w:sz w:val="22"/>
          <w:szCs w:val="22"/>
          <w:lang w:val="es-ES"/>
        </w:rPr>
      </w:pPr>
    </w:p>
    <w:p w:rsidR="00C43EEF" w:rsidRPr="005923FC" w:rsidRDefault="00C43EEF" w:rsidP="004108D4">
      <w:pPr>
        <w:pStyle w:val="Estilopredeterminado"/>
        <w:spacing w:after="0" w:line="240" w:lineRule="auto"/>
        <w:ind w:left="360"/>
        <w:jc w:val="both"/>
        <w:rPr>
          <w:rFonts w:ascii="Tahoma" w:hAnsi="Tahoma" w:cs="Tahoma"/>
          <w:bCs/>
        </w:rPr>
      </w:pPr>
      <w:r w:rsidRPr="005923FC">
        <w:rPr>
          <w:rFonts w:ascii="Tahoma" w:hAnsi="Tahoma" w:cs="Tahoma"/>
          <w:bCs/>
        </w:rPr>
        <w:t xml:space="preserve">Dentro de los documentos remitidos no se aporta la minuta del contrato, en </w:t>
      </w:r>
      <w:r w:rsidR="00444684" w:rsidRPr="005923FC">
        <w:rPr>
          <w:rFonts w:ascii="Tahoma" w:hAnsi="Tahoma" w:cs="Tahoma"/>
          <w:bCs/>
        </w:rPr>
        <w:t xml:space="preserve">la </w:t>
      </w:r>
      <w:r w:rsidRPr="005923FC">
        <w:rPr>
          <w:rFonts w:ascii="Tahoma" w:hAnsi="Tahoma" w:cs="Tahoma"/>
          <w:bCs/>
        </w:rPr>
        <w:t>que se sugiere establecer cl</w:t>
      </w:r>
      <w:r w:rsidR="00444684" w:rsidRPr="005923FC">
        <w:rPr>
          <w:rFonts w:ascii="Tahoma" w:hAnsi="Tahoma" w:cs="Tahoma"/>
          <w:bCs/>
        </w:rPr>
        <w:t>á</w:t>
      </w:r>
      <w:r w:rsidRPr="005923FC">
        <w:rPr>
          <w:rFonts w:ascii="Tahoma" w:hAnsi="Tahoma" w:cs="Tahoma"/>
          <w:bCs/>
        </w:rPr>
        <w:t>usulas excepcionales de caducidad, interpretación, modificación y terminación unilateral</w:t>
      </w:r>
      <w:r w:rsidR="00444684" w:rsidRPr="005923FC">
        <w:rPr>
          <w:rFonts w:ascii="Tahoma" w:hAnsi="Tahoma" w:cs="Tahoma"/>
          <w:bCs/>
        </w:rPr>
        <w:t>es,</w:t>
      </w:r>
      <w:r w:rsidRPr="005923FC">
        <w:rPr>
          <w:rFonts w:ascii="Tahoma" w:hAnsi="Tahoma" w:cs="Tahoma"/>
          <w:bCs/>
        </w:rPr>
        <w:t xml:space="preserve"> de acuerdo a lo establecido en el articulo 14 de la ley 80 de 1993</w:t>
      </w:r>
      <w:r w:rsidR="00444684" w:rsidRPr="005923FC">
        <w:rPr>
          <w:rFonts w:ascii="Tahoma" w:hAnsi="Tahoma" w:cs="Tahoma"/>
          <w:bCs/>
        </w:rPr>
        <w:t>,</w:t>
      </w:r>
      <w:r w:rsidRPr="005923FC">
        <w:rPr>
          <w:rFonts w:ascii="Tahoma" w:hAnsi="Tahoma" w:cs="Tahoma"/>
          <w:bCs/>
        </w:rPr>
        <w:t xml:space="preserve"> de indemnidad</w:t>
      </w:r>
      <w:r w:rsidR="00444684" w:rsidRPr="005923FC">
        <w:rPr>
          <w:rFonts w:ascii="Tahoma" w:hAnsi="Tahoma" w:cs="Tahoma"/>
          <w:bCs/>
        </w:rPr>
        <w:t>, así como multas y cláusula penal</w:t>
      </w:r>
      <w:r w:rsidRPr="005923FC">
        <w:rPr>
          <w:rFonts w:ascii="Tahoma" w:hAnsi="Tahoma" w:cs="Tahoma"/>
          <w:bCs/>
        </w:rPr>
        <w:t xml:space="preserve">.  </w:t>
      </w:r>
    </w:p>
    <w:p w:rsidR="00C43EEF" w:rsidRDefault="00C43EEF" w:rsidP="005923FC">
      <w:pPr>
        <w:jc w:val="both"/>
        <w:rPr>
          <w:rFonts w:ascii="Tahoma" w:hAnsi="Tahoma" w:cs="Tahoma"/>
          <w:sz w:val="22"/>
          <w:szCs w:val="22"/>
          <w:lang w:val="es-ES"/>
        </w:rPr>
      </w:pPr>
    </w:p>
    <w:p w:rsidR="00F66BBA" w:rsidRPr="00F66BBA" w:rsidRDefault="00F66BBA" w:rsidP="00F66BBA">
      <w:pPr>
        <w:jc w:val="both"/>
        <w:rPr>
          <w:rFonts w:ascii="Tahoma" w:hAnsi="Tahoma" w:cs="Tahoma"/>
          <w:sz w:val="22"/>
          <w:szCs w:val="22"/>
          <w:lang w:val="es-ES"/>
        </w:rPr>
      </w:pPr>
      <w:r>
        <w:rPr>
          <w:rFonts w:ascii="Tahoma" w:hAnsi="Tahoma" w:cs="Tahoma"/>
          <w:color w:val="4472C4" w:themeColor="accent1"/>
          <w:lang w:val="es-ES"/>
        </w:rPr>
        <w:t>PAULA - CONTRATACION</w:t>
      </w:r>
    </w:p>
    <w:p w:rsidR="00F66BBA" w:rsidRPr="005923FC" w:rsidRDefault="00F66BBA" w:rsidP="005923FC">
      <w:pPr>
        <w:jc w:val="both"/>
        <w:rPr>
          <w:rFonts w:ascii="Tahoma" w:hAnsi="Tahoma" w:cs="Tahoma"/>
          <w:sz w:val="22"/>
          <w:szCs w:val="22"/>
          <w:lang w:val="es-ES"/>
        </w:rPr>
      </w:pPr>
    </w:p>
    <w:p w:rsidR="00E6335B" w:rsidRPr="005923FC" w:rsidRDefault="00E6335B" w:rsidP="004108D4">
      <w:pPr>
        <w:pStyle w:val="Default"/>
        <w:numPr>
          <w:ilvl w:val="0"/>
          <w:numId w:val="3"/>
        </w:numPr>
        <w:jc w:val="both"/>
        <w:rPr>
          <w:rFonts w:ascii="Tahoma" w:hAnsi="Tahoma" w:cs="Tahoma"/>
          <w:bCs/>
          <w:spacing w:val="-3"/>
          <w:sz w:val="22"/>
          <w:szCs w:val="22"/>
        </w:rPr>
      </w:pPr>
      <w:r w:rsidRPr="005923FC">
        <w:rPr>
          <w:rFonts w:ascii="Tahoma" w:hAnsi="Tahoma" w:cs="Tahoma"/>
          <w:bCs/>
          <w:spacing w:val="-3"/>
          <w:sz w:val="22"/>
          <w:szCs w:val="22"/>
        </w:rPr>
        <w:t xml:space="preserve">Se recomienda incluir dentro del numeral 3.1 Presentación y aprobación de muestras del Anexo Técnico, en el numeral e. que menciona la Ficha Técnica de fabricación la información relacionada con los materiales y características de cada elemento. Esto les permitirá evaluar con mayor precisión los lineamientos emitidos por el Ministerio de Protección Social. </w:t>
      </w:r>
    </w:p>
    <w:p w:rsidR="002B0F11" w:rsidRDefault="002B0F11" w:rsidP="005923FC">
      <w:pPr>
        <w:jc w:val="both"/>
        <w:rPr>
          <w:rFonts w:ascii="Tahoma" w:hAnsi="Tahoma" w:cs="Tahoma"/>
          <w:sz w:val="22"/>
          <w:szCs w:val="22"/>
          <w:lang w:val="es-ES"/>
        </w:rPr>
      </w:pPr>
    </w:p>
    <w:p w:rsidR="00F66BBA" w:rsidRPr="00F66BBA" w:rsidRDefault="00622ED9" w:rsidP="00F66BBA">
      <w:pPr>
        <w:jc w:val="both"/>
        <w:rPr>
          <w:rFonts w:ascii="Tahoma" w:hAnsi="Tahoma" w:cs="Tahoma"/>
          <w:sz w:val="22"/>
          <w:szCs w:val="22"/>
          <w:lang w:val="es-ES"/>
        </w:rPr>
      </w:pPr>
      <w:r>
        <w:rPr>
          <w:rFonts w:ascii="Tahoma" w:hAnsi="Tahoma" w:cs="Tahoma"/>
          <w:color w:val="4472C4" w:themeColor="accent1"/>
          <w:lang w:val="es-ES"/>
        </w:rPr>
        <w:t xml:space="preserve">GONZALO </w:t>
      </w:r>
      <w:bookmarkStart w:id="0" w:name="_GoBack"/>
      <w:bookmarkEnd w:id="0"/>
    </w:p>
    <w:p w:rsidR="00F66BBA" w:rsidRDefault="00F66BBA" w:rsidP="005923FC">
      <w:pPr>
        <w:jc w:val="both"/>
        <w:rPr>
          <w:rFonts w:ascii="Tahoma" w:hAnsi="Tahoma" w:cs="Tahoma"/>
          <w:sz w:val="22"/>
          <w:szCs w:val="22"/>
          <w:lang w:val="es-ES"/>
        </w:rPr>
      </w:pPr>
    </w:p>
    <w:p w:rsidR="00F66BBA" w:rsidRPr="005923FC" w:rsidRDefault="00F66BBA" w:rsidP="005923FC">
      <w:pPr>
        <w:jc w:val="both"/>
        <w:rPr>
          <w:rFonts w:ascii="Tahoma" w:hAnsi="Tahoma" w:cs="Tahoma"/>
          <w:sz w:val="22"/>
          <w:szCs w:val="22"/>
          <w:lang w:val="es-ES"/>
        </w:rPr>
      </w:pPr>
    </w:p>
    <w:p w:rsidR="005923FC" w:rsidRPr="005923FC" w:rsidRDefault="005923FC" w:rsidP="004108D4">
      <w:pPr>
        <w:pStyle w:val="Estilopredeterminado"/>
        <w:numPr>
          <w:ilvl w:val="0"/>
          <w:numId w:val="3"/>
        </w:numPr>
        <w:spacing w:after="0" w:line="240" w:lineRule="auto"/>
        <w:jc w:val="both"/>
        <w:rPr>
          <w:rFonts w:ascii="Tahoma" w:hAnsi="Tahoma" w:cs="Tahoma"/>
          <w:bCs/>
        </w:rPr>
      </w:pPr>
      <w:r w:rsidRPr="005923FC">
        <w:rPr>
          <w:rFonts w:ascii="Tahoma" w:hAnsi="Tahoma" w:cs="Tahoma"/>
          <w:bCs/>
        </w:rPr>
        <w:t>En general, se sugiere revisar la concordancia de los documentos, p.ej., en el numeral 13 de los Estudios Previos se hace alusión a la liquidación del contrato de asociación, y en el numeral 17 hay dos parágrafos primero, lo cual debe ser precisado o corregido.</w:t>
      </w:r>
    </w:p>
    <w:p w:rsidR="00F66BBA" w:rsidRDefault="00F66BBA" w:rsidP="005923FC">
      <w:pPr>
        <w:jc w:val="both"/>
        <w:rPr>
          <w:rFonts w:ascii="Tahoma" w:hAnsi="Tahoma" w:cs="Tahoma"/>
          <w:sz w:val="22"/>
          <w:szCs w:val="22"/>
          <w:lang w:val="es-ES"/>
        </w:rPr>
      </w:pPr>
    </w:p>
    <w:p w:rsidR="00F66BBA" w:rsidRDefault="00F66BBA" w:rsidP="005923FC">
      <w:pPr>
        <w:jc w:val="both"/>
        <w:rPr>
          <w:rFonts w:ascii="Tahoma" w:hAnsi="Tahoma" w:cs="Tahoma"/>
          <w:color w:val="4472C4" w:themeColor="accent1"/>
          <w:lang w:val="es-ES"/>
        </w:rPr>
      </w:pPr>
      <w:r>
        <w:rPr>
          <w:rFonts w:ascii="Tahoma" w:hAnsi="Tahoma" w:cs="Tahoma"/>
          <w:color w:val="4472C4" w:themeColor="accent1"/>
          <w:lang w:val="es-ES"/>
        </w:rPr>
        <w:t>PAULA</w:t>
      </w:r>
    </w:p>
    <w:p w:rsidR="00F66BBA" w:rsidRPr="005923FC" w:rsidRDefault="00F66BBA" w:rsidP="005923FC">
      <w:pPr>
        <w:jc w:val="both"/>
        <w:rPr>
          <w:rFonts w:ascii="Tahoma" w:hAnsi="Tahoma" w:cs="Tahoma"/>
          <w:sz w:val="22"/>
          <w:szCs w:val="22"/>
          <w:lang w:val="es-ES"/>
        </w:rPr>
      </w:pPr>
    </w:p>
    <w:p w:rsidR="002B0F11" w:rsidRPr="005923FC" w:rsidRDefault="002B0F11" w:rsidP="005923FC">
      <w:pPr>
        <w:jc w:val="both"/>
        <w:rPr>
          <w:rFonts w:ascii="Tahoma" w:hAnsi="Tahoma" w:cs="Tahoma"/>
          <w:sz w:val="22"/>
          <w:szCs w:val="22"/>
          <w:lang w:val="es-ES"/>
        </w:rPr>
      </w:pPr>
      <w:r w:rsidRPr="005923FC">
        <w:rPr>
          <w:rFonts w:ascii="Tahoma" w:hAnsi="Tahoma" w:cs="Tahoma"/>
          <w:color w:val="000000"/>
          <w:sz w:val="22"/>
          <w:szCs w:val="22"/>
          <w:shd w:val="clear" w:color="auto" w:fill="FFFFFF"/>
        </w:rPr>
        <w:t>Finalmente, se precisa que la actuación preventiva que realiza este organismo de control no implica en modo alguno coadministración o injerencia en las decisiones de la entidad contratante. En consecuencia, en ejercicio de la autonomía administrativa, la Secretaría deberá tomar las decisiones que estime pertinentes, con observancia de las normas que rigen la contratación estatal y la función administrativa.</w:t>
      </w:r>
    </w:p>
    <w:p w:rsidR="002B0F11" w:rsidRPr="005923FC" w:rsidRDefault="002B0F11" w:rsidP="005923FC">
      <w:pPr>
        <w:rPr>
          <w:rFonts w:ascii="Tahoma" w:hAnsi="Tahoma" w:cs="Tahoma"/>
          <w:sz w:val="22"/>
          <w:szCs w:val="22"/>
          <w:lang w:val="es-ES"/>
        </w:rPr>
      </w:pPr>
    </w:p>
    <w:sectPr w:rsidR="002B0F11" w:rsidRPr="005923FC" w:rsidSect="0089379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A58" w:rsidRDefault="00E87A58" w:rsidP="001131D4">
      <w:r>
        <w:separator/>
      </w:r>
    </w:p>
  </w:endnote>
  <w:endnote w:type="continuationSeparator" w:id="0">
    <w:p w:rsidR="00E87A58" w:rsidRDefault="00E87A58" w:rsidP="0011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A58" w:rsidRDefault="00E87A58" w:rsidP="001131D4">
      <w:r>
        <w:separator/>
      </w:r>
    </w:p>
  </w:footnote>
  <w:footnote w:type="continuationSeparator" w:id="0">
    <w:p w:rsidR="00E87A58" w:rsidRDefault="00E87A58" w:rsidP="00113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E66"/>
    <w:multiLevelType w:val="hybridMultilevel"/>
    <w:tmpl w:val="6B121FD8"/>
    <w:lvl w:ilvl="0" w:tplc="D22A3644">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7E33A73"/>
    <w:multiLevelType w:val="multilevel"/>
    <w:tmpl w:val="8DC892B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9703A7"/>
    <w:multiLevelType w:val="hybridMultilevel"/>
    <w:tmpl w:val="8996E2AE"/>
    <w:lvl w:ilvl="0" w:tplc="040A000F">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22057D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157666"/>
    <w:multiLevelType w:val="hybridMultilevel"/>
    <w:tmpl w:val="CE6482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D14698"/>
    <w:multiLevelType w:val="hybridMultilevel"/>
    <w:tmpl w:val="296A4238"/>
    <w:lvl w:ilvl="0" w:tplc="D22A364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42453F2"/>
    <w:multiLevelType w:val="hybridMultilevel"/>
    <w:tmpl w:val="7748ABB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56C873FA"/>
    <w:multiLevelType w:val="hybridMultilevel"/>
    <w:tmpl w:val="0060E0D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1D70354"/>
    <w:multiLevelType w:val="hybridMultilevel"/>
    <w:tmpl w:val="C7E65A08"/>
    <w:lvl w:ilvl="0" w:tplc="D22A364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8"/>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11"/>
    <w:rsid w:val="000A75AD"/>
    <w:rsid w:val="000F12BB"/>
    <w:rsid w:val="00105303"/>
    <w:rsid w:val="001131D4"/>
    <w:rsid w:val="001876FA"/>
    <w:rsid w:val="00230286"/>
    <w:rsid w:val="00246FDA"/>
    <w:rsid w:val="002B0F11"/>
    <w:rsid w:val="003C4A4D"/>
    <w:rsid w:val="004108D4"/>
    <w:rsid w:val="00444684"/>
    <w:rsid w:val="004475E8"/>
    <w:rsid w:val="004B589E"/>
    <w:rsid w:val="0051786B"/>
    <w:rsid w:val="005923FC"/>
    <w:rsid w:val="00622ED9"/>
    <w:rsid w:val="00667ED6"/>
    <w:rsid w:val="006B5D6C"/>
    <w:rsid w:val="00893791"/>
    <w:rsid w:val="008F692A"/>
    <w:rsid w:val="00914899"/>
    <w:rsid w:val="0095239F"/>
    <w:rsid w:val="009C7467"/>
    <w:rsid w:val="00A425B9"/>
    <w:rsid w:val="00B07954"/>
    <w:rsid w:val="00C42D6D"/>
    <w:rsid w:val="00C43EEF"/>
    <w:rsid w:val="00E6335B"/>
    <w:rsid w:val="00E860A6"/>
    <w:rsid w:val="00E87A58"/>
    <w:rsid w:val="00F23EC4"/>
    <w:rsid w:val="00F36427"/>
    <w:rsid w:val="00F66B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AB9C"/>
  <w15:chartTrackingRefBased/>
  <w15:docId w15:val="{A0ED128D-5943-2542-AF30-FD04F8E6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0F11"/>
    <w:pPr>
      <w:spacing w:after="160" w:line="259" w:lineRule="auto"/>
      <w:ind w:left="720"/>
      <w:contextualSpacing/>
    </w:pPr>
    <w:rPr>
      <w:sz w:val="22"/>
      <w:szCs w:val="22"/>
    </w:rPr>
  </w:style>
  <w:style w:type="paragraph" w:customStyle="1" w:styleId="Default">
    <w:name w:val="Default"/>
    <w:qFormat/>
    <w:rsid w:val="0051786B"/>
    <w:pPr>
      <w:autoSpaceDE w:val="0"/>
      <w:autoSpaceDN w:val="0"/>
      <w:adjustRightInd w:val="0"/>
    </w:pPr>
    <w:rPr>
      <w:rFonts w:ascii="Calibri" w:eastAsia="Times New Roman" w:hAnsi="Calibri" w:cs="Calibri"/>
      <w:color w:val="000000"/>
    </w:rPr>
  </w:style>
  <w:style w:type="table" w:styleId="Tablaconcuadrcula">
    <w:name w:val="Table Grid"/>
    <w:basedOn w:val="Tablanormal"/>
    <w:uiPriority w:val="39"/>
    <w:rsid w:val="005178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redeterminado">
    <w:name w:val="Estilo predeterminado"/>
    <w:uiPriority w:val="99"/>
    <w:rsid w:val="001131D4"/>
    <w:pPr>
      <w:tabs>
        <w:tab w:val="left" w:pos="708"/>
      </w:tabs>
      <w:suppressAutoHyphens/>
      <w:spacing w:after="200" w:line="276" w:lineRule="atLeast"/>
    </w:pPr>
    <w:rPr>
      <w:rFonts w:ascii="Calibri" w:eastAsia="Times New Roman" w:hAnsi="Calibri" w:cs="Calibri"/>
      <w:color w:val="00000A"/>
      <w:sz w:val="22"/>
      <w:szCs w:val="22"/>
      <w:lang w:eastAsia="zh-CN"/>
    </w:rPr>
  </w:style>
  <w:style w:type="paragraph" w:styleId="Textonotapie">
    <w:name w:val="footnote text"/>
    <w:basedOn w:val="Normal"/>
    <w:link w:val="TextonotapieCar"/>
    <w:uiPriority w:val="99"/>
    <w:semiHidden/>
    <w:unhideWhenUsed/>
    <w:rsid w:val="001131D4"/>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semiHidden/>
    <w:rsid w:val="001131D4"/>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1131D4"/>
    <w:rPr>
      <w:vertAlign w:val="superscript"/>
    </w:rPr>
  </w:style>
  <w:style w:type="paragraph" w:styleId="NormalWeb">
    <w:name w:val="Normal (Web)"/>
    <w:basedOn w:val="Normal"/>
    <w:uiPriority w:val="99"/>
    <w:unhideWhenUsed/>
    <w:rsid w:val="004475E8"/>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1892</Words>
  <Characters>10411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Luz Miriam Diaz Patigño</cp:lastModifiedBy>
  <cp:revision>27</cp:revision>
  <dcterms:created xsi:type="dcterms:W3CDTF">2020-04-17T14:06:00Z</dcterms:created>
  <dcterms:modified xsi:type="dcterms:W3CDTF">2020-04-17T17:20:00Z</dcterms:modified>
</cp:coreProperties>
</file>