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1D13" w:rsidRDefault="00BB1D13">
      <w:pPr>
        <w:spacing w:after="0" w:line="240" w:lineRule="auto"/>
        <w:rPr>
          <w:rFonts w:ascii="Arial" w:eastAsia="Arial" w:hAnsi="Arial" w:cs="Arial"/>
        </w:rPr>
      </w:pPr>
    </w:p>
    <w:p w14:paraId="00000002" w14:textId="77777777" w:rsidR="00BB1D13" w:rsidRDefault="00BB1D13">
      <w:pPr>
        <w:spacing w:after="0" w:line="240" w:lineRule="auto"/>
        <w:rPr>
          <w:rFonts w:ascii="Arial" w:eastAsia="Arial" w:hAnsi="Arial" w:cs="Arial"/>
        </w:rPr>
      </w:pPr>
    </w:p>
    <w:p w14:paraId="00000003" w14:textId="77777777" w:rsidR="00BB1D13" w:rsidRDefault="00BB1D13">
      <w:pPr>
        <w:spacing w:after="0" w:line="240" w:lineRule="auto"/>
        <w:rPr>
          <w:rFonts w:ascii="Arial" w:eastAsia="Arial" w:hAnsi="Arial" w:cs="Arial"/>
        </w:rPr>
      </w:pPr>
    </w:p>
    <w:p w14:paraId="00000004" w14:textId="77777777" w:rsidR="00BB1D13" w:rsidRDefault="00D2109F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SECRETARIA DISTRITAL DE INTEGRACIÓN SOCIAL</w:t>
      </w:r>
    </w:p>
    <w:p w14:paraId="00000005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6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7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8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9" w14:textId="77777777" w:rsidR="00BB1D13" w:rsidRDefault="00D2109F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E2847CA" wp14:editId="3A56C06A">
            <wp:extent cx="2543175" cy="1447800"/>
            <wp:effectExtent l="0" t="0" r="0" b="0"/>
            <wp:docPr id="1269583909" name="image1.jpg" descr="escudo-al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scudo-al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A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B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C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D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0E" w14:textId="77777777" w:rsidR="00BB1D13" w:rsidRDefault="00D2109F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Informe de seguimiento al Cronograma del Plan Institucional de Participación Ciudadana - Tercer trimestre</w:t>
      </w:r>
    </w:p>
    <w:p w14:paraId="0000000F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0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1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2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3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4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5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6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7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8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9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A" w14:textId="77777777" w:rsidR="00BB1D13" w:rsidRDefault="00D2109F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Octubre de 2020</w:t>
      </w:r>
    </w:p>
    <w:p w14:paraId="0000001B" w14:textId="77777777" w:rsidR="00BB1D13" w:rsidRDefault="00BB1D13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0000001C" w14:textId="77777777" w:rsidR="00BB1D13" w:rsidRDefault="00D2109F">
      <w:pPr>
        <w:spacing w:after="0" w:line="240" w:lineRule="auto"/>
        <w:rPr>
          <w:rFonts w:ascii="Arial" w:eastAsia="Arial" w:hAnsi="Arial" w:cs="Arial"/>
          <w:b/>
        </w:rPr>
      </w:pPr>
      <w:r>
        <w:br w:type="page"/>
      </w:r>
    </w:p>
    <w:p w14:paraId="0000001D" w14:textId="77777777" w:rsidR="00BB1D13" w:rsidRDefault="00D210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Contenido</w:t>
      </w:r>
    </w:p>
    <w:sdt>
      <w:sdtPr>
        <w:id w:val="-2120061234"/>
        <w:docPartObj>
          <w:docPartGallery w:val="Table of Contents"/>
          <w:docPartUnique/>
        </w:docPartObj>
      </w:sdtPr>
      <w:sdtEndPr/>
      <w:sdtContent>
        <w:p w14:paraId="1BEAF216" w14:textId="571CBA7D" w:rsidR="009110AC" w:rsidRDefault="00D2109F">
          <w:pPr>
            <w:pStyle w:val="TDC2"/>
            <w:tabs>
              <w:tab w:val="left" w:pos="66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5914666" w:history="1">
            <w:r w:rsidR="009110AC" w:rsidRPr="00003A82">
              <w:rPr>
                <w:rStyle w:val="Hipervnculo"/>
                <w:b/>
                <w:noProof/>
              </w:rPr>
              <w:t>1.</w:t>
            </w:r>
            <w:r w:rsidR="009110AC">
              <w:rPr>
                <w:rFonts w:asciiTheme="minorHAnsi" w:eastAsiaTheme="minorEastAsia" w:hAnsiTheme="minorHAnsi" w:cstheme="minorBidi"/>
                <w:noProof/>
                <w:lang w:val="es-CO"/>
              </w:rPr>
              <w:tab/>
            </w:r>
            <w:r w:rsidR="009110AC" w:rsidRPr="00003A82">
              <w:rPr>
                <w:rStyle w:val="Hipervnculo"/>
                <w:rFonts w:ascii="Arial" w:eastAsia="Arial" w:hAnsi="Arial" w:cs="Arial"/>
                <w:b/>
                <w:noProof/>
              </w:rPr>
              <w:t>Introducción</w:t>
            </w:r>
            <w:r w:rsidR="009110AC">
              <w:rPr>
                <w:noProof/>
                <w:webHidden/>
              </w:rPr>
              <w:tab/>
            </w:r>
            <w:r w:rsidR="009110AC">
              <w:rPr>
                <w:noProof/>
                <w:webHidden/>
              </w:rPr>
              <w:fldChar w:fldCharType="begin"/>
            </w:r>
            <w:r w:rsidR="009110AC">
              <w:rPr>
                <w:noProof/>
                <w:webHidden/>
              </w:rPr>
              <w:instrText xml:space="preserve"> PAGEREF _Toc55914666 \h </w:instrText>
            </w:r>
            <w:r w:rsidR="009110AC">
              <w:rPr>
                <w:noProof/>
                <w:webHidden/>
              </w:rPr>
            </w:r>
            <w:r w:rsidR="009110AC">
              <w:rPr>
                <w:noProof/>
                <w:webHidden/>
              </w:rPr>
              <w:fldChar w:fldCharType="separate"/>
            </w:r>
            <w:r w:rsidR="009110AC">
              <w:rPr>
                <w:noProof/>
                <w:webHidden/>
              </w:rPr>
              <w:t>3</w:t>
            </w:r>
            <w:r w:rsidR="009110AC">
              <w:rPr>
                <w:noProof/>
                <w:webHidden/>
              </w:rPr>
              <w:fldChar w:fldCharType="end"/>
            </w:r>
          </w:hyperlink>
        </w:p>
        <w:p w14:paraId="1F560A10" w14:textId="41A372F1" w:rsidR="009110AC" w:rsidRDefault="009110AC">
          <w:pPr>
            <w:pStyle w:val="TDC2"/>
            <w:tabs>
              <w:tab w:val="left" w:pos="66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55914667" w:history="1">
            <w:r w:rsidRPr="00003A82">
              <w:rPr>
                <w:rStyle w:val="Hipervnculo"/>
                <w:rFonts w:ascii="Arial" w:eastAsia="Arial" w:hAnsi="Arial" w:cs="Arial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s-CO"/>
              </w:rPr>
              <w:tab/>
            </w:r>
            <w:r w:rsidRPr="00003A82">
              <w:rPr>
                <w:rStyle w:val="Hipervnculo"/>
                <w:rFonts w:ascii="Arial" w:eastAsia="Arial" w:hAnsi="Arial" w:cs="Arial"/>
                <w:b/>
                <w:noProof/>
              </w:rPr>
              <w:t>Metodología del seguimiento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_Toc55914667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CDA02" w14:textId="48CF50F6" w:rsidR="009110AC" w:rsidRDefault="009110AC">
          <w:pPr>
            <w:pStyle w:val="TDC2"/>
            <w:tabs>
              <w:tab w:val="left" w:pos="66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55914668" w:history="1">
            <w:r w:rsidRPr="00003A82">
              <w:rPr>
                <w:rStyle w:val="Hipervnculo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s-CO"/>
              </w:rPr>
              <w:tab/>
            </w:r>
            <w:r w:rsidRPr="00003A82">
              <w:rPr>
                <w:rStyle w:val="Hipervnculo"/>
                <w:rFonts w:ascii="Arial" w:eastAsia="Arial" w:hAnsi="Arial" w:cs="Arial"/>
                <w:b/>
                <w:noProof/>
              </w:rPr>
              <w:t>Monitoreo tercer trimestre de la vigencia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_Toc55914668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46288" w14:textId="3EEC8546" w:rsidR="009110AC" w:rsidRPr="009110AC" w:rsidRDefault="009110AC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lang w:val="es-CO"/>
            </w:rPr>
          </w:pPr>
          <w:hyperlink w:anchor="_Toc55914669" w:history="1">
            <w:r w:rsidRPr="009110AC">
              <w:rPr>
                <w:rStyle w:val="Hipervnculo"/>
                <w:rFonts w:eastAsia="Arial"/>
                <w:b w:val="0"/>
                <w:bCs w:val="0"/>
              </w:rPr>
              <w:t>3.1. ¿Qué se planteó?</w:t>
            </w:r>
            <w:r w:rsidRPr="009110AC">
              <w:rPr>
                <w:b w:val="0"/>
                <w:bCs w:val="0"/>
                <w:webHidden/>
              </w:rPr>
              <w:tab/>
            </w:r>
            <w:r w:rsidRPr="009110AC">
              <w:rPr>
                <w:b w:val="0"/>
                <w:bCs w:val="0"/>
                <w:webHidden/>
              </w:rPr>
              <w:fldChar w:fldCharType="begin"/>
            </w:r>
            <w:r w:rsidRPr="009110AC">
              <w:rPr>
                <w:b w:val="0"/>
                <w:bCs w:val="0"/>
                <w:webHidden/>
              </w:rPr>
              <w:instrText xml:space="preserve"> PAGEREF _Toc55914669 \h </w:instrText>
            </w:r>
            <w:r w:rsidRPr="009110AC">
              <w:rPr>
                <w:b w:val="0"/>
                <w:bCs w:val="0"/>
                <w:webHidden/>
              </w:rPr>
            </w:r>
            <w:r w:rsidRPr="009110AC">
              <w:rPr>
                <w:b w:val="0"/>
                <w:bCs w:val="0"/>
                <w:webHidden/>
              </w:rPr>
              <w:fldChar w:fldCharType="separate"/>
            </w:r>
            <w:r w:rsidRPr="009110AC">
              <w:rPr>
                <w:b w:val="0"/>
                <w:bCs w:val="0"/>
                <w:webHidden/>
              </w:rPr>
              <w:t>4</w:t>
            </w:r>
            <w:r w:rsidRPr="0091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9D4D326" w14:textId="0A501BC3" w:rsidR="009110AC" w:rsidRPr="009110AC" w:rsidRDefault="009110AC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lang w:val="es-CO"/>
            </w:rPr>
          </w:pPr>
          <w:hyperlink w:anchor="_Toc55914670" w:history="1">
            <w:r w:rsidRPr="009110AC">
              <w:rPr>
                <w:rStyle w:val="Hipervnculo"/>
                <w:rFonts w:eastAsia="Arial"/>
                <w:b w:val="0"/>
                <w:bCs w:val="0"/>
              </w:rPr>
              <w:t>3.2. Reporte de avance a septiembre de 2020</w:t>
            </w:r>
            <w:r w:rsidRPr="009110AC">
              <w:rPr>
                <w:b w:val="0"/>
                <w:bCs w:val="0"/>
                <w:webHidden/>
              </w:rPr>
              <w:tab/>
            </w:r>
            <w:r w:rsidRPr="009110AC">
              <w:rPr>
                <w:b w:val="0"/>
                <w:bCs w:val="0"/>
                <w:webHidden/>
              </w:rPr>
              <w:fldChar w:fldCharType="begin"/>
            </w:r>
            <w:r w:rsidRPr="009110AC">
              <w:rPr>
                <w:b w:val="0"/>
                <w:bCs w:val="0"/>
                <w:webHidden/>
              </w:rPr>
              <w:instrText xml:space="preserve"> PAGEREF _Toc55914670 \h </w:instrText>
            </w:r>
            <w:r w:rsidRPr="009110AC">
              <w:rPr>
                <w:b w:val="0"/>
                <w:bCs w:val="0"/>
                <w:webHidden/>
              </w:rPr>
            </w:r>
            <w:r w:rsidRPr="009110AC">
              <w:rPr>
                <w:b w:val="0"/>
                <w:bCs w:val="0"/>
                <w:webHidden/>
              </w:rPr>
              <w:fldChar w:fldCharType="separate"/>
            </w:r>
            <w:r w:rsidRPr="009110AC">
              <w:rPr>
                <w:b w:val="0"/>
                <w:bCs w:val="0"/>
                <w:webHidden/>
              </w:rPr>
              <w:t>5</w:t>
            </w:r>
            <w:r w:rsidRPr="0091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34B5272E" w14:textId="7999DF49" w:rsidR="009110AC" w:rsidRPr="009110AC" w:rsidRDefault="009110AC">
          <w:pPr>
            <w:pStyle w:val="TDC3"/>
            <w:rPr>
              <w:rFonts w:asciiTheme="minorHAnsi" w:eastAsiaTheme="minorEastAsia" w:hAnsiTheme="minorHAnsi" w:cstheme="minorBidi"/>
              <w:b w:val="0"/>
              <w:bCs w:val="0"/>
              <w:lang w:val="es-CO"/>
            </w:rPr>
          </w:pPr>
          <w:hyperlink w:anchor="_Toc55914671" w:history="1">
            <w:r w:rsidRPr="009110AC">
              <w:rPr>
                <w:rStyle w:val="Hipervnculo"/>
                <w:rFonts w:eastAsia="Arial"/>
                <w:b w:val="0"/>
                <w:bCs w:val="0"/>
              </w:rPr>
              <w:t>Capítulo adicional: ¿De qué manera afectó el Covid19 al desarrollo de las actividades planteadas por las áreas en el cronograma? Familia</w:t>
            </w:r>
            <w:r w:rsidRPr="009110AC">
              <w:rPr>
                <w:b w:val="0"/>
                <w:bCs w:val="0"/>
                <w:webHidden/>
              </w:rPr>
              <w:tab/>
            </w:r>
            <w:r w:rsidRPr="009110AC">
              <w:rPr>
                <w:b w:val="0"/>
                <w:bCs w:val="0"/>
                <w:webHidden/>
              </w:rPr>
              <w:fldChar w:fldCharType="begin"/>
            </w:r>
            <w:r w:rsidRPr="009110AC">
              <w:rPr>
                <w:b w:val="0"/>
                <w:bCs w:val="0"/>
                <w:webHidden/>
              </w:rPr>
              <w:instrText xml:space="preserve"> PAGEREF _Toc55914671 \h </w:instrText>
            </w:r>
            <w:r w:rsidRPr="009110AC">
              <w:rPr>
                <w:b w:val="0"/>
                <w:bCs w:val="0"/>
                <w:webHidden/>
              </w:rPr>
            </w:r>
            <w:r w:rsidRPr="009110AC">
              <w:rPr>
                <w:b w:val="0"/>
                <w:bCs w:val="0"/>
                <w:webHidden/>
              </w:rPr>
              <w:fldChar w:fldCharType="separate"/>
            </w:r>
            <w:r w:rsidRPr="009110AC">
              <w:rPr>
                <w:b w:val="0"/>
                <w:bCs w:val="0"/>
                <w:webHidden/>
              </w:rPr>
              <w:t>6</w:t>
            </w:r>
            <w:r w:rsidRPr="009110AC">
              <w:rPr>
                <w:b w:val="0"/>
                <w:bCs w:val="0"/>
                <w:webHidden/>
              </w:rPr>
              <w:fldChar w:fldCharType="end"/>
            </w:r>
          </w:hyperlink>
        </w:p>
        <w:p w14:paraId="24ACE967" w14:textId="3D2E0FF9" w:rsidR="009110AC" w:rsidRDefault="009110AC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s-CO"/>
            </w:rPr>
          </w:pPr>
          <w:hyperlink w:anchor="_Toc55914672" w:history="1">
            <w:r w:rsidRPr="00003A82">
              <w:rPr>
                <w:rStyle w:val="Hipervnculo"/>
                <w:rFonts w:ascii="Arial" w:eastAsia="Arial" w:hAnsi="Arial" w:cs="Arial"/>
                <w:b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_Toc55914672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00025" w14:textId="1882D828" w:rsidR="00BB1D13" w:rsidRDefault="00D2109F">
          <w:pPr>
            <w:rPr>
              <w:rFonts w:ascii="Arial" w:eastAsia="Arial" w:hAnsi="Arial" w:cs="Arial"/>
            </w:rPr>
          </w:pPr>
          <w:r>
            <w:fldChar w:fldCharType="end"/>
          </w:r>
        </w:p>
      </w:sdtContent>
    </w:sdt>
    <w:p w14:paraId="00000026" w14:textId="77777777" w:rsidR="00BB1D13" w:rsidRDefault="00BB1D13">
      <w:pPr>
        <w:pStyle w:val="Ttulo2"/>
        <w:spacing w:after="240"/>
        <w:rPr>
          <w:rFonts w:ascii="Arial" w:eastAsia="Arial" w:hAnsi="Arial" w:cs="Arial"/>
          <w:b/>
          <w:color w:val="000000"/>
        </w:rPr>
      </w:pPr>
    </w:p>
    <w:p w14:paraId="00000027" w14:textId="77777777" w:rsidR="00BB1D13" w:rsidRDefault="00BB1D13">
      <w:pPr>
        <w:rPr>
          <w:rFonts w:ascii="Arial" w:eastAsia="Arial" w:hAnsi="Arial" w:cs="Arial"/>
        </w:rPr>
      </w:pPr>
    </w:p>
    <w:p w14:paraId="00000028" w14:textId="77777777" w:rsidR="00BB1D13" w:rsidRDefault="00BB1D13">
      <w:pPr>
        <w:rPr>
          <w:rFonts w:ascii="Arial" w:eastAsia="Arial" w:hAnsi="Arial" w:cs="Arial"/>
        </w:rPr>
      </w:pPr>
    </w:p>
    <w:p w14:paraId="00000029" w14:textId="77777777" w:rsidR="00BB1D13" w:rsidRDefault="00BB1D13">
      <w:pPr>
        <w:rPr>
          <w:rFonts w:ascii="Arial" w:eastAsia="Arial" w:hAnsi="Arial" w:cs="Arial"/>
        </w:rPr>
      </w:pPr>
    </w:p>
    <w:p w14:paraId="0000002A" w14:textId="77777777" w:rsidR="00BB1D13" w:rsidRDefault="00BB1D13">
      <w:pPr>
        <w:rPr>
          <w:rFonts w:ascii="Arial" w:eastAsia="Arial" w:hAnsi="Arial" w:cs="Arial"/>
        </w:rPr>
      </w:pPr>
    </w:p>
    <w:p w14:paraId="0000002B" w14:textId="77777777" w:rsidR="00BB1D13" w:rsidRDefault="00BB1D13">
      <w:pPr>
        <w:rPr>
          <w:rFonts w:ascii="Arial" w:eastAsia="Arial" w:hAnsi="Arial" w:cs="Arial"/>
        </w:rPr>
      </w:pPr>
    </w:p>
    <w:p w14:paraId="0000002C" w14:textId="77777777" w:rsidR="00BB1D13" w:rsidRDefault="00BB1D13">
      <w:pPr>
        <w:rPr>
          <w:rFonts w:ascii="Arial" w:eastAsia="Arial" w:hAnsi="Arial" w:cs="Arial"/>
        </w:rPr>
      </w:pPr>
    </w:p>
    <w:p w14:paraId="0000002D" w14:textId="77777777" w:rsidR="00BB1D13" w:rsidRDefault="00BB1D13">
      <w:pPr>
        <w:rPr>
          <w:rFonts w:ascii="Arial" w:eastAsia="Arial" w:hAnsi="Arial" w:cs="Arial"/>
        </w:rPr>
      </w:pPr>
    </w:p>
    <w:p w14:paraId="0000002E" w14:textId="77777777" w:rsidR="00BB1D13" w:rsidRDefault="00BB1D13">
      <w:pPr>
        <w:rPr>
          <w:rFonts w:ascii="Arial" w:eastAsia="Arial" w:hAnsi="Arial" w:cs="Arial"/>
        </w:rPr>
      </w:pPr>
    </w:p>
    <w:p w14:paraId="0000002F" w14:textId="77777777" w:rsidR="00BB1D13" w:rsidRDefault="00BB1D13">
      <w:pPr>
        <w:rPr>
          <w:rFonts w:ascii="Arial" w:eastAsia="Arial" w:hAnsi="Arial" w:cs="Arial"/>
        </w:rPr>
      </w:pPr>
    </w:p>
    <w:p w14:paraId="00000030" w14:textId="77777777" w:rsidR="00BB1D13" w:rsidRDefault="00BB1D13">
      <w:pPr>
        <w:rPr>
          <w:rFonts w:ascii="Arial" w:eastAsia="Arial" w:hAnsi="Arial" w:cs="Arial"/>
        </w:rPr>
      </w:pPr>
    </w:p>
    <w:p w14:paraId="00000031" w14:textId="77777777" w:rsidR="00BB1D13" w:rsidRDefault="00BB1D13">
      <w:pPr>
        <w:rPr>
          <w:rFonts w:ascii="Arial" w:eastAsia="Arial" w:hAnsi="Arial" w:cs="Arial"/>
        </w:rPr>
      </w:pPr>
    </w:p>
    <w:p w14:paraId="00000032" w14:textId="77777777" w:rsidR="00BB1D13" w:rsidRDefault="00BB1D13">
      <w:pPr>
        <w:rPr>
          <w:rFonts w:ascii="Arial" w:eastAsia="Arial" w:hAnsi="Arial" w:cs="Arial"/>
        </w:rPr>
      </w:pPr>
    </w:p>
    <w:p w14:paraId="00000033" w14:textId="77777777" w:rsidR="00BB1D13" w:rsidRDefault="00BB1D13">
      <w:pPr>
        <w:rPr>
          <w:rFonts w:ascii="Arial" w:eastAsia="Arial" w:hAnsi="Arial" w:cs="Arial"/>
        </w:rPr>
      </w:pPr>
    </w:p>
    <w:p w14:paraId="00000034" w14:textId="77777777" w:rsidR="00BB1D13" w:rsidRDefault="00BB1D13">
      <w:pPr>
        <w:rPr>
          <w:rFonts w:ascii="Arial" w:eastAsia="Arial" w:hAnsi="Arial" w:cs="Arial"/>
        </w:rPr>
      </w:pPr>
    </w:p>
    <w:p w14:paraId="00000035" w14:textId="77777777" w:rsidR="00BB1D13" w:rsidRDefault="00BB1D13">
      <w:pPr>
        <w:rPr>
          <w:rFonts w:ascii="Arial" w:eastAsia="Arial" w:hAnsi="Arial" w:cs="Arial"/>
        </w:rPr>
      </w:pPr>
    </w:p>
    <w:p w14:paraId="00000036" w14:textId="77777777" w:rsidR="00BB1D13" w:rsidRDefault="00BB1D13">
      <w:pPr>
        <w:rPr>
          <w:rFonts w:ascii="Arial" w:eastAsia="Arial" w:hAnsi="Arial" w:cs="Arial"/>
        </w:rPr>
      </w:pPr>
    </w:p>
    <w:p w14:paraId="00000037" w14:textId="77777777" w:rsidR="00BB1D13" w:rsidRDefault="00BB1D13">
      <w:pPr>
        <w:rPr>
          <w:rFonts w:ascii="Arial" w:eastAsia="Arial" w:hAnsi="Arial" w:cs="Arial"/>
        </w:rPr>
      </w:pPr>
    </w:p>
    <w:p w14:paraId="00000038" w14:textId="77777777" w:rsidR="00BB1D13" w:rsidRDefault="00BB1D13">
      <w:pPr>
        <w:rPr>
          <w:rFonts w:ascii="Arial" w:eastAsia="Arial" w:hAnsi="Arial" w:cs="Arial"/>
        </w:rPr>
      </w:pPr>
    </w:p>
    <w:p w14:paraId="00000039" w14:textId="77777777" w:rsidR="00BB1D13" w:rsidRDefault="00D2109F">
      <w:pPr>
        <w:pStyle w:val="Ttulo2"/>
        <w:numPr>
          <w:ilvl w:val="0"/>
          <w:numId w:val="2"/>
        </w:numPr>
        <w:spacing w:after="240"/>
        <w:rPr>
          <w:b/>
          <w:color w:val="000000"/>
        </w:rPr>
      </w:pPr>
      <w:bookmarkStart w:id="0" w:name="_Toc55914666"/>
      <w:r>
        <w:rPr>
          <w:rFonts w:ascii="Arial" w:eastAsia="Arial" w:hAnsi="Arial" w:cs="Arial"/>
          <w:b/>
          <w:color w:val="000000"/>
        </w:rPr>
        <w:lastRenderedPageBreak/>
        <w:t>Introducción</w:t>
      </w:r>
      <w:bookmarkEnd w:id="0"/>
    </w:p>
    <w:p w14:paraId="0000003A" w14:textId="535C82CA" w:rsidR="00BB1D13" w:rsidRPr="009016D0" w:rsidRDefault="009016D0" w:rsidP="009016D0">
      <w:pPr>
        <w:spacing w:line="276" w:lineRule="auto"/>
        <w:jc w:val="both"/>
        <w:rPr>
          <w:rFonts w:ascii="Arial" w:eastAsia="Arial" w:hAnsi="Arial" w:cs="Arial"/>
        </w:rPr>
      </w:pPr>
      <w:r w:rsidRPr="009016D0">
        <w:rPr>
          <w:rFonts w:ascii="Arial" w:eastAsia="Arial" w:hAnsi="Arial" w:cs="Arial"/>
        </w:rPr>
        <w:t xml:space="preserve">La participación ciudadana hace parte del proceso de planeación estratégica de la Entidad, y es compromiso de la Secretaría Distrital de Integración Social </w:t>
      </w:r>
      <w:proofErr w:type="spellStart"/>
      <w:r w:rsidRPr="009016D0">
        <w:rPr>
          <w:rFonts w:ascii="Arial" w:eastAsia="Arial" w:hAnsi="Arial" w:cs="Arial"/>
        </w:rPr>
        <w:t>formentarla</w:t>
      </w:r>
      <w:proofErr w:type="spellEnd"/>
      <w:r w:rsidRPr="009016D0">
        <w:rPr>
          <w:rFonts w:ascii="Arial" w:eastAsia="Arial" w:hAnsi="Arial" w:cs="Arial"/>
        </w:rPr>
        <w:t xml:space="preserve"> y fortalecerla para garantizar el derecho constitucional de los ciudadanos a hacer escuchar su voz, y acompañar a la Administración en la construcción de mejores servicios sociales, apoyos y herramientas de política pública para mejorar la calidad de vida de los más vulnerables de la Ciudad. </w:t>
      </w:r>
    </w:p>
    <w:p w14:paraId="0000003B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 formato Cronograma actividades plan institucional de participación ciudadana (FOR-PE-004), de ahora en adelante (PC), es una herramienta del Plan Institucional de PC de la Secretaría Distrital de Integración Social, el cual tiene el objetivo de promover</w:t>
      </w:r>
      <w:r>
        <w:rPr>
          <w:rFonts w:ascii="Arial" w:eastAsia="Arial" w:hAnsi="Arial" w:cs="Arial"/>
        </w:rPr>
        <w:t xml:space="preserve"> el involucramiento de la ciudadanía en todo el ciclo de la gestión pública. A través de dicha herramienta se programan las actividades que la Entidad pretende desarrollar con la comunidad en general durante la vigencia, estableciendo fechas y metas de las</w:t>
      </w:r>
      <w:r>
        <w:rPr>
          <w:rFonts w:ascii="Arial" w:eastAsia="Arial" w:hAnsi="Arial" w:cs="Arial"/>
        </w:rPr>
        <w:t xml:space="preserve"> actividades.</w:t>
      </w:r>
    </w:p>
    <w:p w14:paraId="0000003C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Cronograma permite que cada dependencia o área adecúe los ejercicios de participación a sus necesidades y prioridades, bajo un formato estándar y una metodología para las acciones de participación. La publicación del cronograma de activida</w:t>
      </w:r>
      <w:r>
        <w:rPr>
          <w:rFonts w:ascii="Arial" w:eastAsia="Arial" w:hAnsi="Arial" w:cs="Arial"/>
        </w:rPr>
        <w:t>des se hace a través de los medios pertinentes y con tiempo suficiente para el conocimiento público.</w:t>
      </w:r>
    </w:p>
    <w:p w14:paraId="0000003D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construcción del Cronograma es conjunta, se realiza por medio de una solicitud de la Dirección de Análisis y Diseño Estratégico hacia las Dependencias, </w:t>
      </w:r>
      <w:r>
        <w:rPr>
          <w:rFonts w:ascii="Arial" w:eastAsia="Arial" w:hAnsi="Arial" w:cs="Arial"/>
        </w:rPr>
        <w:t>para que realicen el diligenciamiento del formato ya estandarizado para la Entidad; así, las diferentes áreas consignan las acciones y actividades que consideran necesarias a desarrollar. Después de ello, lo remiten a nuevamente a la Dirección mencionada i</w:t>
      </w:r>
      <w:r>
        <w:rPr>
          <w:rFonts w:ascii="Arial" w:eastAsia="Arial" w:hAnsi="Arial" w:cs="Arial"/>
        </w:rPr>
        <w:t>nicialmente para realizar la consolidación del Cronograma general.</w:t>
      </w:r>
    </w:p>
    <w:p w14:paraId="0000003E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el propósito de fortalecer y acompañar los procesos de participación, cada tres meses las dependencias realizan el reporte del avance de las actividades, y la Dirección de Análisis y Di</w:t>
      </w:r>
      <w:r>
        <w:rPr>
          <w:rFonts w:ascii="Arial" w:eastAsia="Arial" w:hAnsi="Arial" w:cs="Arial"/>
        </w:rPr>
        <w:t>seño Estratégico lleva a cabo el seguimiento del Cronograma en general. El presente informe se enmarca en el tercer trimestre de la vigencia 2020, es decir: julio, agosto y septiembre.</w:t>
      </w:r>
    </w:p>
    <w:p w14:paraId="0000003F" w14:textId="77777777" w:rsidR="00BB1D13" w:rsidRDefault="00D2109F">
      <w:pPr>
        <w:pStyle w:val="Ttulo2"/>
        <w:numPr>
          <w:ilvl w:val="0"/>
          <w:numId w:val="2"/>
        </w:numPr>
        <w:spacing w:after="240" w:line="276" w:lineRule="auto"/>
        <w:jc w:val="both"/>
        <w:rPr>
          <w:rFonts w:ascii="Arial" w:eastAsia="Arial" w:hAnsi="Arial" w:cs="Arial"/>
          <w:b/>
          <w:color w:val="000000"/>
        </w:rPr>
      </w:pPr>
      <w:bookmarkStart w:id="1" w:name="_Toc55914667"/>
      <w:r>
        <w:rPr>
          <w:rFonts w:ascii="Arial" w:eastAsia="Arial" w:hAnsi="Arial" w:cs="Arial"/>
          <w:b/>
          <w:color w:val="000000"/>
        </w:rPr>
        <w:t>Metodología del seguimiento</w:t>
      </w:r>
      <w:bookmarkEnd w:id="1"/>
    </w:p>
    <w:p w14:paraId="00000040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seguimiento al Cronograma se realiza ini</w:t>
      </w:r>
      <w:r>
        <w:rPr>
          <w:rFonts w:ascii="Arial" w:eastAsia="Arial" w:hAnsi="Arial" w:cs="Arial"/>
        </w:rPr>
        <w:t xml:space="preserve">ciando el mes siguiente respecto del trimestre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tener en cuenta, a través de un memorando enviado desde la Dirección de Análisis y Diseño Estratégico hacia las demás dependencias, solicitando el avance de las actividades programadas para el trimestre en c</w:t>
      </w:r>
      <w:r>
        <w:rPr>
          <w:rFonts w:ascii="Arial" w:eastAsia="Arial" w:hAnsi="Arial" w:cs="Arial"/>
        </w:rPr>
        <w:t>uestión. En respuesta, las áreas envían su cronograma de la vigencia, con el reporte de lo realizado durante ese período y las evidencias que corresponden, dejando así claridad y transparencia en la ejecución de los ejercicios de participación ciudadana.</w:t>
      </w:r>
    </w:p>
    <w:p w14:paraId="00000041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 Dirección de Análisis y Diseño Estratégico consolida esta información y observa si los avances reportados coinciden con la programación inicial, asimismo, si cumplen con el objetivo de las acciones acordadas. Además, corrobora la coherencia y suficiencia</w:t>
      </w:r>
      <w:r>
        <w:rPr>
          <w:rFonts w:ascii="Arial" w:eastAsia="Arial" w:hAnsi="Arial" w:cs="Arial"/>
        </w:rPr>
        <w:t xml:space="preserve"> de las </w:t>
      </w:r>
      <w:r>
        <w:rPr>
          <w:rFonts w:ascii="Arial" w:eastAsia="Arial" w:hAnsi="Arial" w:cs="Arial"/>
        </w:rPr>
        <w:lastRenderedPageBreak/>
        <w:t xml:space="preserve">evidencias allegadas en relación con lo redactado en el Cronograma. Por último, realiza un reporte con las observaciones que surgieron de dicho ejercicio y estas son consignadas en las columnas dispuestas para ello; no obstante, si una dependencia </w:t>
      </w:r>
      <w:r>
        <w:rPr>
          <w:rFonts w:ascii="Arial" w:eastAsia="Arial" w:hAnsi="Arial" w:cs="Arial"/>
        </w:rPr>
        <w:t>tenía programada una o más actividades para el trimestre y estas no fueron registradas, se reitera la solicitud.</w:t>
      </w:r>
    </w:p>
    <w:p w14:paraId="00000042" w14:textId="77777777" w:rsidR="00BB1D13" w:rsidRDefault="00D2109F">
      <w:pPr>
        <w:pStyle w:val="Ttulo2"/>
        <w:numPr>
          <w:ilvl w:val="0"/>
          <w:numId w:val="2"/>
        </w:numPr>
        <w:spacing w:after="240"/>
        <w:rPr>
          <w:b/>
          <w:color w:val="000000"/>
        </w:rPr>
      </w:pPr>
      <w:bookmarkStart w:id="2" w:name="_Toc55914668"/>
      <w:r>
        <w:rPr>
          <w:rFonts w:ascii="Arial" w:eastAsia="Arial" w:hAnsi="Arial" w:cs="Arial"/>
          <w:b/>
          <w:color w:val="000000"/>
        </w:rPr>
        <w:t>Monitoreo tercer trimestre de la vigencia 2020</w:t>
      </w:r>
      <w:bookmarkEnd w:id="2"/>
    </w:p>
    <w:p w14:paraId="00000043" w14:textId="77777777" w:rsidR="00BB1D13" w:rsidRDefault="00D2109F">
      <w:pPr>
        <w:pStyle w:val="Ttulo3"/>
        <w:spacing w:after="240"/>
        <w:rPr>
          <w:rFonts w:ascii="Arial" w:eastAsia="Arial" w:hAnsi="Arial" w:cs="Arial"/>
          <w:b/>
          <w:color w:val="000000"/>
        </w:rPr>
      </w:pPr>
      <w:bookmarkStart w:id="3" w:name="_Toc55914669"/>
      <w:r>
        <w:rPr>
          <w:rFonts w:ascii="Arial" w:eastAsia="Arial" w:hAnsi="Arial" w:cs="Arial"/>
          <w:b/>
          <w:color w:val="000000"/>
        </w:rPr>
        <w:t>3.1. ¿Qué se planteó?</w:t>
      </w:r>
      <w:bookmarkEnd w:id="3"/>
    </w:p>
    <w:p w14:paraId="00000044" w14:textId="77777777" w:rsidR="00BB1D13" w:rsidRDefault="00D210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 tabla relacionada a continuación se exponen las acciones reportadas </w:t>
      </w:r>
      <w:r>
        <w:rPr>
          <w:rFonts w:ascii="Arial" w:eastAsia="Arial" w:hAnsi="Arial" w:cs="Arial"/>
        </w:rPr>
        <w:t xml:space="preserve">por las diferentes áreas y dependencias de la Entidad para realizar durante la vigencia 2020, desagregadas por cada trimestre del año.  </w:t>
      </w:r>
    </w:p>
    <w:p w14:paraId="00000045" w14:textId="77777777" w:rsidR="00BB1D13" w:rsidRDefault="00D210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Tabla 1. Cantidad de acciones de participación reportadas por las áreas por trimestre. Enero a septiembre de 2020</w:t>
      </w:r>
    </w:p>
    <w:tbl>
      <w:tblPr>
        <w:tblStyle w:val="a"/>
        <w:tblW w:w="83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5"/>
        <w:gridCol w:w="1005"/>
        <w:gridCol w:w="960"/>
        <w:gridCol w:w="990"/>
        <w:gridCol w:w="930"/>
        <w:gridCol w:w="1080"/>
      </w:tblGrid>
      <w:tr w:rsidR="00BB1D13" w14:paraId="19392AEB" w14:textId="77777777" w:rsidTr="009016D0">
        <w:trPr>
          <w:trHeight w:val="480"/>
          <w:tblHeader/>
          <w:jc w:val="center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000004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la SDIS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000004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Primer trimestre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000004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Segundo trimestre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000004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Tercer trimestre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000004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Cuarto trimestre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0000004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acciones</w:t>
            </w:r>
          </w:p>
        </w:tc>
      </w:tr>
      <w:tr w:rsidR="00BB1D13" w14:paraId="4130371D" w14:textId="77777777">
        <w:trPr>
          <w:trHeight w:val="300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C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 Territorial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71BF20C9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2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 Corporativa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3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4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BB1D13" w14:paraId="4C59A346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Dirección de Nutrición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Abast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25D98FC5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E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 Poblacional (Discapacidad)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9016D0" w14:paraId="2619AACE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01E2" w14:textId="2F096173" w:rsidR="009016D0" w:rsidRDefault="009016D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Asesora Jurídica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27AD" w14:textId="15EC3971" w:rsidR="009016D0" w:rsidRDefault="009016D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D2E4" w14:textId="22647487" w:rsidR="009016D0" w:rsidRDefault="009016D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53C4" w14:textId="02D715AB" w:rsidR="009016D0" w:rsidRDefault="009016D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3EFF" w14:textId="1067048F" w:rsidR="009016D0" w:rsidRDefault="009016D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BAB0B3" w14:textId="5B26A7B5" w:rsidR="009016D0" w:rsidRDefault="009016D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BB1D13" w14:paraId="266D3C27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4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Administrativa y Finan.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BB1D13" w14:paraId="47A977DD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A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para la Infancia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B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C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</w:tr>
      <w:tr w:rsidR="00BB1D13" w14:paraId="4B682F01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para la Juventud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BB1D13" w14:paraId="76E00B68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6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para la Familia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</w:tr>
      <w:tr w:rsidR="00BB1D13" w14:paraId="0C229104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para la Adultez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BB1D13" w14:paraId="2522003A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para la Vejez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</w:tr>
      <w:tr w:rsidR="00BB1D13" w14:paraId="246F6645" w14:textId="77777777">
        <w:trPr>
          <w:trHeight w:val="30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para asuntos LGBT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BB1D13" w14:paraId="60B33D8E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E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San Cristóbal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</w:tr>
      <w:tr w:rsidR="00BB1D13" w14:paraId="574D5E48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Chapinero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</w:tr>
      <w:tr w:rsidR="00BB1D13" w14:paraId="4E26C6FF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Usme – Sumapaz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</w:tr>
      <w:tr w:rsidR="00BB1D13" w14:paraId="40AD127B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Fontibón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</w:tr>
      <w:tr w:rsidR="00BB1D13" w14:paraId="4AAADD76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Suba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</w:tr>
      <w:tr w:rsidR="00BB1D13" w14:paraId="17FEDD79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Los Mártires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</w:tr>
      <w:tr w:rsidR="00BB1D13" w14:paraId="27832A20" w14:textId="77777777">
        <w:trPr>
          <w:trHeight w:val="765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Puente Aranda – Antonio Nariño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4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</w:tr>
      <w:tr w:rsidR="00BB1D13" w14:paraId="6DF3C5D2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Subdirección Local para la Integración Social de Rafael Uribe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Uribe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BB1D13" w:rsidRDefault="00BB1D1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</w:tr>
      <w:tr w:rsidR="00BB1D13" w14:paraId="3BF8EBF8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E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Subdirección Local para la Integración Social de Engativá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57816B79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4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Barrios Unidos - Teusaquillo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1B04EDC1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Usaquén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C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2721D510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Kennedy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4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</w:tr>
      <w:tr w:rsidR="00BB1D13" w14:paraId="57F79962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Santa Fe - Candelaria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50C424E2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Tunjuelito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1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0FC7DB9B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2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Bosa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4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  <w:tr w:rsidR="00BB1D13" w14:paraId="01407333" w14:textId="77777777">
        <w:trPr>
          <w:trHeight w:val="51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Subdirección Local para la Integración Social de Ciudad Bolívar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B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</w:tr>
    </w:tbl>
    <w:p w14:paraId="000000EE" w14:textId="77777777" w:rsidR="00BB1D13" w:rsidRDefault="00D2109F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Fuente: </w:t>
      </w:r>
      <w:r>
        <w:rPr>
          <w:rFonts w:ascii="Arial" w:eastAsia="Arial" w:hAnsi="Arial" w:cs="Arial"/>
          <w:sz w:val="16"/>
          <w:szCs w:val="16"/>
        </w:rPr>
        <w:t>Construcción propia. Secretaría Distrital de Integración Social - Subdirección de Diseño, Evaluación y Sistematización. Septiembre 2020.</w:t>
      </w:r>
    </w:p>
    <w:p w14:paraId="000000EF" w14:textId="77777777" w:rsidR="00BB1D13" w:rsidRDefault="00D2109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Nota:</w:t>
      </w:r>
      <w:r>
        <w:rPr>
          <w:rFonts w:ascii="Arial" w:eastAsia="Arial" w:hAnsi="Arial" w:cs="Arial"/>
          <w:sz w:val="16"/>
          <w:szCs w:val="16"/>
        </w:rPr>
        <w:t xml:space="preserve"> Las actividades se encuentran acumuladas por trimestre, en caso de iniciar en el primer trimestre y finalizar en uno diferente a este.</w:t>
      </w:r>
    </w:p>
    <w:p w14:paraId="000000F0" w14:textId="77777777" w:rsidR="00BB1D13" w:rsidRDefault="00D2109F">
      <w:pPr>
        <w:pStyle w:val="Ttulo3"/>
        <w:spacing w:after="240"/>
        <w:rPr>
          <w:rFonts w:ascii="Arial" w:eastAsia="Arial" w:hAnsi="Arial" w:cs="Arial"/>
          <w:b/>
          <w:color w:val="000000"/>
        </w:rPr>
      </w:pPr>
      <w:bookmarkStart w:id="4" w:name="_Toc55914670"/>
      <w:r>
        <w:rPr>
          <w:rFonts w:ascii="Arial" w:eastAsia="Arial" w:hAnsi="Arial" w:cs="Arial"/>
          <w:b/>
          <w:color w:val="000000"/>
        </w:rPr>
        <w:t>3.2. Reporte de avance a septiembre de 2020</w:t>
      </w:r>
      <w:bookmarkEnd w:id="4"/>
    </w:p>
    <w:p w14:paraId="000000F1" w14:textId="77777777" w:rsidR="00BB1D13" w:rsidRDefault="00D210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siguiente tabla se relaciona el avance descrito por las áreas en su reporte trimestral y las observaciones encontradas en cada caso por la Subdirección de Diseño, Evaluación y Sistematización.</w:t>
      </w:r>
    </w:p>
    <w:p w14:paraId="000000F2" w14:textId="77777777" w:rsidR="00BB1D13" w:rsidRDefault="00D210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Tabla 2. Avance en las acciones de participación ciudadan</w:t>
      </w:r>
      <w:r>
        <w:rPr>
          <w:rFonts w:ascii="Arial" w:eastAsia="Arial" w:hAnsi="Arial" w:cs="Arial"/>
          <w:b/>
        </w:rPr>
        <w:t>a y observaciones por área. Septiembre de 2020</w:t>
      </w:r>
    </w:p>
    <w:tbl>
      <w:tblPr>
        <w:tblStyle w:val="a0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584"/>
        <w:gridCol w:w="4936"/>
      </w:tblGrid>
      <w:tr w:rsidR="00BB1D13" w14:paraId="20900D3F" w14:textId="77777777" w:rsidTr="007C18E2">
        <w:trPr>
          <w:trHeight w:val="480"/>
          <w:tblHeader/>
          <w:jc w:val="center"/>
        </w:trPr>
        <w:tc>
          <w:tcPr>
            <w:tcW w:w="3256" w:type="dxa"/>
            <w:shd w:val="clear" w:color="auto" w:fill="A6A6A6"/>
            <w:vAlign w:val="center"/>
          </w:tcPr>
          <w:p w14:paraId="000000F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Áreas de la SDIS</w:t>
            </w:r>
          </w:p>
        </w:tc>
        <w:tc>
          <w:tcPr>
            <w:tcW w:w="1584" w:type="dxa"/>
            <w:shd w:val="clear" w:color="auto" w:fill="A6A6A6"/>
            <w:vAlign w:val="center"/>
          </w:tcPr>
          <w:p w14:paraId="000000F4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Porcentaje de avance</w:t>
            </w:r>
          </w:p>
        </w:tc>
        <w:tc>
          <w:tcPr>
            <w:tcW w:w="4936" w:type="dxa"/>
            <w:shd w:val="clear" w:color="auto" w:fill="A6A6A6"/>
            <w:vAlign w:val="center"/>
          </w:tcPr>
          <w:p w14:paraId="000000F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Observaciones del periodo</w:t>
            </w:r>
          </w:p>
        </w:tc>
      </w:tr>
      <w:tr w:rsidR="00BB1D13" w14:paraId="5158F9B0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0F6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Corporativa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0F7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0F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recibió reporte de esta Dirección.</w:t>
            </w:r>
          </w:p>
        </w:tc>
      </w:tr>
      <w:tr w:rsidR="00BB1D13" w14:paraId="5D6FA512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0F9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Subdirección Administrativa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Financ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0FA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0FB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recibió reporte de esta Subdirección.</w:t>
            </w:r>
          </w:p>
        </w:tc>
      </w:tr>
      <w:tr w:rsidR="00BB1D13" w14:paraId="1F1C9AAD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0FC" w14:textId="77C81A3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Poblacional</w:t>
            </w:r>
            <w:r w:rsidR="00E347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(Discapacidad)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0FD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0FE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 el tercer período faltan algunas evidencias de las actividades descritas.</w:t>
            </w:r>
          </w:p>
        </w:tc>
      </w:tr>
      <w:tr w:rsidR="00E3473F" w14:paraId="26A883E1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D59D4D3" w14:textId="72ACFE1C" w:rsidR="00E3473F" w:rsidRDefault="00E347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Oficina Asesora Jurídica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A46717A" w14:textId="15EA8819" w:rsidR="00E3473F" w:rsidRDefault="00E3473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3B7C3275" w14:textId="73047C7A" w:rsidR="00E3473F" w:rsidRDefault="00E347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Ok.</w:t>
            </w:r>
          </w:p>
        </w:tc>
      </w:tr>
      <w:tr w:rsidR="00BB1D13" w14:paraId="2766B158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0FF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para la Infancia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0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01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Algunas evidencias No corresponden al período reportado.</w:t>
            </w:r>
          </w:p>
        </w:tc>
      </w:tr>
      <w:tr w:rsidR="00BB1D13" w14:paraId="29AE5649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02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 la Juventud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0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04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recibió reporte de esta Subdirección.</w:t>
            </w:r>
          </w:p>
        </w:tc>
      </w:tr>
      <w:tr w:rsidR="00BB1D13" w14:paraId="2030F5C7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05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para la Familia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0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07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necesario revisar la participación efectiva de la ciudadanía en las actividades planteadas.</w:t>
            </w:r>
          </w:p>
        </w:tc>
      </w:tr>
      <w:tr w:rsidR="00BB1D13" w14:paraId="1151A32B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0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para la Adultez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0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0A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Faltan algunas evidencias para el segundo período.</w:t>
            </w:r>
          </w:p>
        </w:tc>
      </w:tr>
      <w:tr w:rsidR="00BB1D13" w14:paraId="03ED743A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0B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para la Vejez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0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0D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 el segundo período no envió reporte</w:t>
            </w:r>
          </w:p>
          <w:p w14:paraId="0000010E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unas evidencias son de meses diferentes a lo reportado</w:t>
            </w:r>
          </w:p>
        </w:tc>
      </w:tr>
      <w:tr w:rsidR="00BB1D13" w14:paraId="4790931C" w14:textId="77777777" w:rsidTr="007C18E2">
        <w:trPr>
          <w:trHeight w:val="30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0F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para asuntos LGBT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10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11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recibió reporte de esta Subdirección.</w:t>
            </w:r>
          </w:p>
        </w:tc>
      </w:tr>
      <w:tr w:rsidR="00BB1D13" w14:paraId="1068824D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12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Social de San Cristóbal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13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14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recibió reporte de esta Subdirección para el tercer período</w:t>
            </w:r>
          </w:p>
        </w:tc>
      </w:tr>
      <w:tr w:rsidR="00BB1D13" w14:paraId="145B7162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15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Social de Chapinero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16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17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encuentran las evidencias pertinentes.</w:t>
            </w:r>
          </w:p>
        </w:tc>
      </w:tr>
      <w:tr w:rsidR="00BB1D13" w14:paraId="131972ED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18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Subdirección Local para la Integración Social de Usme – Sumapaz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19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1A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Algunas descripciones no tienen todas sus evidencias.</w:t>
            </w:r>
          </w:p>
        </w:tc>
      </w:tr>
      <w:tr w:rsidR="00BB1D13" w14:paraId="525ABC06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1B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Social de Fontibón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1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1D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recibió reporte de esta Subdirección.</w:t>
            </w:r>
          </w:p>
        </w:tc>
      </w:tr>
      <w:tr w:rsidR="00BB1D13" w14:paraId="7DEC086B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1E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Social de Suba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1F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67.5%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20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 el segundo período faltaron algunas evidencias de lo descrito en el reporte.</w:t>
            </w:r>
          </w:p>
        </w:tc>
      </w:tr>
      <w:tr w:rsidR="00BB1D13" w14:paraId="630BF3B2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21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Social de Los Mártires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22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23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recomienda fortalecer las evidencias para el tercer período.</w:t>
            </w:r>
          </w:p>
        </w:tc>
      </w:tr>
      <w:tr w:rsidR="00BB1D13" w14:paraId="5C90D332" w14:textId="77777777" w:rsidTr="007C18E2">
        <w:trPr>
          <w:trHeight w:val="76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24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ial de Puente Aranda – Antonio Nariño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25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26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recomienda fortalecer las evidencias para el tercer período, así como la participación ciudadana en las actividades.</w:t>
            </w:r>
          </w:p>
        </w:tc>
      </w:tr>
      <w:tr w:rsidR="00BB1D13" w14:paraId="3B0315B5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27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Subdirección Local para la Integración Social de Rafael Uribe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Uribe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14:paraId="00000128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33,33%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29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recibió reporte de esta Subdirección para el segundo período.</w:t>
            </w:r>
          </w:p>
          <w:p w14:paraId="0000012A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el tercer período, hacen falta algunas evidencias de lo descrito, adicionalmente no se reportó avance de dos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ctividades sin relacionar justificación.</w:t>
            </w:r>
          </w:p>
        </w:tc>
      </w:tr>
      <w:tr w:rsidR="00BB1D13" w14:paraId="006493DB" w14:textId="77777777" w:rsidTr="007C18E2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00012B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Subdirección Local para la Integración Social de Kennedy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00012C" w14:textId="77777777" w:rsidR="00BB1D13" w:rsidRDefault="00D210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29.16%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0000012D" w14:textId="77777777" w:rsidR="00BB1D13" w:rsidRDefault="00D2109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se presentaron las evidencias correspondientes.</w:t>
            </w:r>
          </w:p>
        </w:tc>
      </w:tr>
    </w:tbl>
    <w:p w14:paraId="0000012E" w14:textId="79E721D3" w:rsidR="00BB1D13" w:rsidRDefault="00D2109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Fuente:</w:t>
      </w:r>
      <w:r>
        <w:rPr>
          <w:rFonts w:ascii="Arial" w:eastAsia="Arial" w:hAnsi="Arial" w:cs="Arial"/>
          <w:sz w:val="16"/>
          <w:szCs w:val="16"/>
        </w:rPr>
        <w:t xml:space="preserve"> Construcción propia. Secretaría Distrital de Integración Social - Subdirección de Diseño, Evaluación y Sistematización. </w:t>
      </w:r>
      <w:sdt>
        <w:sdtPr>
          <w:tag w:val="goog_rdk_0"/>
          <w:id w:val="1527900980"/>
        </w:sdtPr>
        <w:sdtEndPr/>
        <w:sdtContent/>
      </w:sdt>
      <w:r w:rsidR="009110AC">
        <w:rPr>
          <w:rFonts w:ascii="Arial" w:eastAsia="Arial" w:hAnsi="Arial" w:cs="Arial"/>
          <w:sz w:val="16"/>
          <w:szCs w:val="16"/>
        </w:rPr>
        <w:t>Octubr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</w:rPr>
        <w:t>2020.</w:t>
      </w:r>
    </w:p>
    <w:p w14:paraId="0000012F" w14:textId="77777777" w:rsidR="00BB1D13" w:rsidRDefault="00D2109F">
      <w:pPr>
        <w:pStyle w:val="Ttulo3"/>
        <w:spacing w:after="240" w:line="276" w:lineRule="auto"/>
        <w:jc w:val="both"/>
        <w:rPr>
          <w:rFonts w:ascii="Arial" w:eastAsia="Arial" w:hAnsi="Arial" w:cs="Arial"/>
        </w:rPr>
      </w:pPr>
      <w:bookmarkStart w:id="5" w:name="_Toc55914671"/>
      <w:r>
        <w:rPr>
          <w:rFonts w:ascii="Arial" w:eastAsia="Arial" w:hAnsi="Arial" w:cs="Arial"/>
          <w:b/>
          <w:color w:val="000000"/>
        </w:rPr>
        <w:t>Capítulo adicional: ¿De qué manera afectó el Covid19 al desarrollo de las actividades planteadas por las áreas en el cronograma? Familia</w:t>
      </w:r>
      <w:bookmarkEnd w:id="5"/>
    </w:p>
    <w:p w14:paraId="00000130" w14:textId="01763C04" w:rsidR="00BB1D13" w:rsidRDefault="00D2109F">
      <w:pPr>
        <w:spacing w:line="276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A lo largo de los tres trimestres transcurridos, algunas áreas reportaron retrasos y suspensión de actividades debido a</w:t>
      </w:r>
      <w:r>
        <w:rPr>
          <w:rFonts w:ascii="Arial" w:eastAsia="Arial" w:hAnsi="Arial" w:cs="Arial"/>
        </w:rPr>
        <w:t xml:space="preserve"> la emergencia generada por el Covid-19</w:t>
      </w:r>
      <w:r w:rsidR="009110A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9110A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dicionalmente, por este mismo motivo, </w:t>
      </w:r>
      <w:r w:rsidR="009110AC">
        <w:rPr>
          <w:rFonts w:ascii="Arial" w:eastAsia="Arial" w:hAnsi="Arial" w:cs="Arial"/>
        </w:rPr>
        <w:t>la participación de las y los ciudadanos</w:t>
      </w:r>
      <w:r w:rsidR="009110AC">
        <w:rPr>
          <w:rFonts w:ascii="Arial" w:eastAsia="Arial" w:hAnsi="Arial" w:cs="Arial"/>
        </w:rPr>
        <w:t xml:space="preserve"> ha disminuido significativamente en </w:t>
      </w:r>
      <w:r>
        <w:rPr>
          <w:rFonts w:ascii="Arial" w:eastAsia="Arial" w:hAnsi="Arial" w:cs="Arial"/>
        </w:rPr>
        <w:t xml:space="preserve">las </w:t>
      </w:r>
      <w:r w:rsidR="009110AC">
        <w:rPr>
          <w:rFonts w:ascii="Arial" w:eastAsia="Arial" w:hAnsi="Arial" w:cs="Arial"/>
        </w:rPr>
        <w:t xml:space="preserve">diferentes </w:t>
      </w:r>
      <w:r>
        <w:rPr>
          <w:rFonts w:ascii="Arial" w:eastAsia="Arial" w:hAnsi="Arial" w:cs="Arial"/>
        </w:rPr>
        <w:t>actividades</w:t>
      </w:r>
      <w:r w:rsidR="009110A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sobre todo en la población de persona</w:t>
      </w:r>
      <w:r w:rsidR="009110A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mayor</w:t>
      </w:r>
      <w:r w:rsidR="009110A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y personas con discapacidad. P</w:t>
      </w:r>
      <w:r>
        <w:rPr>
          <w:rFonts w:ascii="Arial" w:eastAsia="Arial" w:hAnsi="Arial" w:cs="Arial"/>
        </w:rPr>
        <w:t xml:space="preserve">or otra parte, </w:t>
      </w:r>
      <w:r w:rsidR="009110AC"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rupos poblacionales como infancia han mantenido una participación ciudadana más estable en las actividades coordinadas por la Subdirección de Infancia y Adolescencia</w:t>
      </w:r>
      <w:r w:rsidR="009110AC">
        <w:rPr>
          <w:rFonts w:ascii="Arial" w:eastAsia="Arial" w:hAnsi="Arial" w:cs="Arial"/>
        </w:rPr>
        <w:t xml:space="preserve"> y las Subdirecciones Locales.</w:t>
      </w:r>
      <w:r w:rsidR="009110AC">
        <w:rPr>
          <w:rFonts w:ascii="Arial" w:eastAsia="Arial" w:hAnsi="Arial" w:cs="Arial"/>
          <w:highlight w:val="yellow"/>
        </w:rPr>
        <w:t xml:space="preserve"> </w:t>
      </w:r>
    </w:p>
    <w:p w14:paraId="00000131" w14:textId="77777777" w:rsidR="00BB1D13" w:rsidRDefault="00D2109F">
      <w:pPr>
        <w:pStyle w:val="Ttulo2"/>
        <w:spacing w:after="240"/>
        <w:rPr>
          <w:rFonts w:ascii="Arial" w:eastAsia="Arial" w:hAnsi="Arial" w:cs="Arial"/>
          <w:b/>
          <w:color w:val="000000"/>
        </w:rPr>
      </w:pPr>
      <w:bookmarkStart w:id="6" w:name="_Toc55914672"/>
      <w:r>
        <w:rPr>
          <w:rFonts w:ascii="Arial" w:eastAsia="Arial" w:hAnsi="Arial" w:cs="Arial"/>
          <w:b/>
          <w:color w:val="000000"/>
        </w:rPr>
        <w:t>Conclusiones</w:t>
      </w:r>
      <w:bookmarkEnd w:id="6"/>
    </w:p>
    <w:p w14:paraId="00000132" w14:textId="77777777" w:rsidR="00BB1D13" w:rsidRDefault="00D2109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Finalmen</w:t>
      </w:r>
      <w:r>
        <w:rPr>
          <w:rFonts w:ascii="Arial" w:eastAsia="Arial" w:hAnsi="Arial" w:cs="Arial"/>
        </w:rPr>
        <w:t>te, se identifican tres conclusiones básicas, la primera es que el Covid-19 tuvo un efecto en el diálogo entre la Entidad y la ciudadanía en general, disminuyendo el número de participantes de las actividades y frenando totalmente otras. La segunda, es que</w:t>
      </w:r>
      <w:r>
        <w:rPr>
          <w:rFonts w:ascii="Arial" w:eastAsia="Arial" w:hAnsi="Arial" w:cs="Arial"/>
        </w:rPr>
        <w:t>, al cambiar la forma de comunicación a recursos virtuales, los grupos de valor de la Entidad tuvieron menor capacidad de participación, por lo tanto, este canal restringe el diálogo de la Entidad y los y las ciudadanas. Por último, se concluye que las act</w:t>
      </w:r>
      <w:r>
        <w:rPr>
          <w:rFonts w:ascii="Arial" w:eastAsia="Arial" w:hAnsi="Arial" w:cs="Arial"/>
        </w:rPr>
        <w:t xml:space="preserve">ividades más efectivas para asegurar la participación de la comunidad son aquellas que no consisten en reuniones o mesas de trabajo, sino las que involucran una instrucción coordinadora de parte de la Entidad, una actividad desarrollada independientemente </w:t>
      </w:r>
      <w:r>
        <w:rPr>
          <w:rFonts w:ascii="Arial" w:eastAsia="Arial" w:hAnsi="Arial" w:cs="Arial"/>
        </w:rPr>
        <w:t>por los y las ciudadanas, y una labor de consolidación del área de la Entidad que organizó la actividad.</w:t>
      </w:r>
    </w:p>
    <w:p w14:paraId="00000134" w14:textId="77071249" w:rsidR="00BB1D13" w:rsidRDefault="00D2109F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Anexo: </w:t>
      </w:r>
      <w:r w:rsidR="0026432A"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Cronograma actividades plan institucional de participación ciudadana (FOR-PE-004) _</w:t>
      </w:r>
      <w:r w:rsidR="0026432A">
        <w:rPr>
          <w:rFonts w:ascii="Arial" w:eastAsia="Arial" w:hAnsi="Arial" w:cs="Arial"/>
          <w:sz w:val="18"/>
          <w:szCs w:val="18"/>
        </w:rPr>
        <w:t xml:space="preserve"> hasta</w:t>
      </w:r>
      <w:r>
        <w:rPr>
          <w:rFonts w:ascii="Arial" w:eastAsia="Arial" w:hAnsi="Arial" w:cs="Arial"/>
          <w:sz w:val="18"/>
          <w:szCs w:val="18"/>
        </w:rPr>
        <w:t xml:space="preserve"> tercer trimestre</w:t>
      </w:r>
      <w:r w:rsidR="0026432A"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.</w:t>
      </w:r>
    </w:p>
    <w:p w14:paraId="00000135" w14:textId="77777777" w:rsidR="00BB1D13" w:rsidRDefault="00BB1D13">
      <w:pPr>
        <w:spacing w:after="0"/>
        <w:rPr>
          <w:rFonts w:ascii="Arial" w:eastAsia="Arial" w:hAnsi="Arial" w:cs="Arial"/>
          <w:sz w:val="18"/>
          <w:szCs w:val="18"/>
        </w:rPr>
      </w:pPr>
    </w:p>
    <w:p w14:paraId="00000136" w14:textId="77777777" w:rsidR="00BB1D13" w:rsidRDefault="00D2109F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Aprobó: Diana Larisa Caruso López – Directora de Análisis y Diseño Estratégico (E) </w:t>
      </w:r>
    </w:p>
    <w:p w14:paraId="00000137" w14:textId="77777777" w:rsidR="00BB1D13" w:rsidRDefault="00D2109F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Revisó: Johana Garzón Zamora – Subdirección de Diseño, Evaluac</w:t>
      </w:r>
      <w:r>
        <w:rPr>
          <w:rFonts w:ascii="Arial" w:eastAsia="Arial" w:hAnsi="Arial" w:cs="Arial"/>
          <w:sz w:val="18"/>
          <w:szCs w:val="18"/>
        </w:rPr>
        <w:t>ión y Sistematización</w:t>
      </w:r>
    </w:p>
    <w:p w14:paraId="00000138" w14:textId="77777777" w:rsidR="00BB1D13" w:rsidRDefault="00D2109F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Proyectó: Claudia Galindo González – Subdirección de Diseño, Evaluación y Sistematización</w:t>
      </w:r>
    </w:p>
    <w:p w14:paraId="00000139" w14:textId="4F547082" w:rsidR="00BB1D13" w:rsidRDefault="00D2109F">
      <w:pPr>
        <w:spacing w:after="0"/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Alejandra Manrique Mata </w:t>
      </w:r>
      <w:r w:rsidR="009110AC"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ubdirección de Diseño, Evaluación y Sistematización</w:t>
      </w:r>
    </w:p>
    <w:sectPr w:rsidR="00BB1D13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A77C" w14:textId="77777777" w:rsidR="00D2109F" w:rsidRDefault="00D2109F" w:rsidP="009110AC">
      <w:pPr>
        <w:spacing w:after="0" w:line="240" w:lineRule="auto"/>
      </w:pPr>
      <w:r>
        <w:separator/>
      </w:r>
    </w:p>
  </w:endnote>
  <w:endnote w:type="continuationSeparator" w:id="0">
    <w:p w14:paraId="2673649F" w14:textId="77777777" w:rsidR="00D2109F" w:rsidRDefault="00D2109F" w:rsidP="0091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758476"/>
      <w:docPartObj>
        <w:docPartGallery w:val="Page Numbers (Bottom of Page)"/>
        <w:docPartUnique/>
      </w:docPartObj>
    </w:sdtPr>
    <w:sdtContent>
      <w:p w14:paraId="71AA885B" w14:textId="05513A5E" w:rsidR="009110AC" w:rsidRDefault="009110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809BF" w14:textId="77777777" w:rsidR="009110AC" w:rsidRDefault="009110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4AB8" w14:textId="77777777" w:rsidR="00D2109F" w:rsidRDefault="00D2109F" w:rsidP="009110AC">
      <w:pPr>
        <w:spacing w:after="0" w:line="240" w:lineRule="auto"/>
      </w:pPr>
      <w:r>
        <w:separator/>
      </w:r>
    </w:p>
  </w:footnote>
  <w:footnote w:type="continuationSeparator" w:id="0">
    <w:p w14:paraId="601554D4" w14:textId="77777777" w:rsidR="00D2109F" w:rsidRDefault="00D2109F" w:rsidP="0091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F08C3"/>
    <w:multiLevelType w:val="multilevel"/>
    <w:tmpl w:val="BB5C5D2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96A30"/>
    <w:multiLevelType w:val="multilevel"/>
    <w:tmpl w:val="222AF2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13"/>
    <w:rsid w:val="0026432A"/>
    <w:rsid w:val="007629D3"/>
    <w:rsid w:val="007C18E2"/>
    <w:rsid w:val="009016D0"/>
    <w:rsid w:val="009110AC"/>
    <w:rsid w:val="00BB1D13"/>
    <w:rsid w:val="00CE60A1"/>
    <w:rsid w:val="00D2109F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124D3"/>
  <w15:docId w15:val="{96A4A807-78FD-4AFA-BD1F-690F433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D68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72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2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72D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472D68"/>
    <w:pPr>
      <w:outlineLvl w:val="9"/>
    </w:pPr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7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72D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3C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rsid w:val="002120F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120F7"/>
    <w:pPr>
      <w:tabs>
        <w:tab w:val="right" w:leader="dot" w:pos="8828"/>
      </w:tabs>
      <w:spacing w:after="100"/>
      <w:ind w:left="440"/>
    </w:pPr>
    <w:rPr>
      <w:rFonts w:ascii="Arial" w:hAnsi="Arial" w:cs="Arial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2120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07A"/>
    <w:rPr>
      <w:rFonts w:ascii="Segoe UI" w:eastAsia="Calibr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0A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0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GoLT4c3hqS+kcljumTYY1HnaQ==">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MARCELA GALINDO GONZALEZ</dc:creator>
  <cp:lastModifiedBy>CLAUDIA MARCELA GALINDO GONZALEZ</cp:lastModifiedBy>
  <cp:revision>2</cp:revision>
  <dcterms:created xsi:type="dcterms:W3CDTF">2020-11-10T20:36:00Z</dcterms:created>
  <dcterms:modified xsi:type="dcterms:W3CDTF">2020-11-10T20:36:00Z</dcterms:modified>
</cp:coreProperties>
</file>